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300"/>
        <w:jc w:val="center"/>
      </w:pPr>
      <w:r>
        <w:rPr>
          <w:rFonts w:ascii="Calibri" w:hAnsi="Calibri"/>
          <w:b/>
          <w:i w:val="0"/>
          <w:color w:val="218C74"/>
          <w:sz w:val="22"/>
        </w:rPr>
        <w:t>PATIENTENBROSCHÜRE</w:t>
      </w:r>
    </w:p>
    <w:p>
      <w:pPr>
        <w:pStyle w:val="Title"/>
        <w:jc w:val="center"/>
      </w:pPr>
      <w:r>
        <w:rPr>
          <w:b/>
        </w:rPr>
        <w:t>Entzündungshemmend essen</w:t>
      </w:r>
    </w:p>
    <w:p>
      <w:pPr>
        <w:pStyle w:val="Subtitle"/>
        <w:jc w:val="center"/>
      </w:pPr>
      <w:r>
        <w:t>Wie Lebensmittel Entzündungsprozesse beeinflussen – und welche Rolle Cannabinoide, Terpene und Flavonoide spielen können</w:t>
      </w:r>
    </w:p>
    <w:p>
      <w:pPr>
        <w:spacing w:before="560"/>
        <w:jc w:val="center"/>
      </w:pPr>
      <w:r>
        <w:rPr>
          <w:rFonts w:ascii="Calibri" w:hAnsi="Calibri"/>
          <w:b/>
          <w:i w:val="0"/>
          <w:color w:val="218C74"/>
          <w:sz w:val="26"/>
        </w:rPr>
        <w:t>ERNÄHRUNG</w:t>
      </w:r>
      <w:r>
        <w:rPr>
          <w:rFonts w:ascii="Calibri" w:hAnsi="Calibri"/>
          <w:b/>
          <w:i w:val="0"/>
          <w:color w:val="F6C85F"/>
          <w:sz w:val="26"/>
        </w:rPr>
        <w:t xml:space="preserve">   +   </w:t>
      </w:r>
      <w:r>
        <w:rPr>
          <w:rFonts w:ascii="Calibri" w:hAnsi="Calibri"/>
          <w:b/>
          <w:i w:val="0"/>
          <w:color w:val="20639B"/>
          <w:sz w:val="26"/>
        </w:rPr>
        <w:t>ENDOCANNABINOIDSYSTEM</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FF8DF"/>
          </w:tcPr>
          <w:p>
            <w:pPr>
              <w:spacing w:after="60"/>
            </w:pPr>
            <w:r>
              <w:rPr>
                <w:rFonts w:ascii="Calibri" w:hAnsi="Calibri"/>
                <w:b/>
                <w:i w:val="0"/>
                <w:color w:val="8B6508"/>
                <w:sz w:val="24"/>
              </w:rPr>
              <w:t>Das Wichtigste vorweg</w:t>
              <w:br/>
            </w:r>
            <w:r>
              <w:rPr>
                <w:rFonts w:ascii="Calibri" w:hAnsi="Calibri"/>
                <w:b w:val="0"/>
                <w:i w:val="0"/>
                <w:color w:val="24323D"/>
                <w:sz w:val="21"/>
              </w:rPr>
              <w:t>Eine pflanzenbetonte, wenig verarbeitete Ernährung ist die Grundlage. Cannabis kann bei einzelnen Beschwerden ergänzen, ist aber kein Ersatz für Diagnostik oder Behandlung. Besonders bei Δ9-THC müssen Nutzen und Risiken sorgfältig abgewogen werden.</w:t>
            </w:r>
          </w:p>
        </w:tc>
      </w:tr>
    </w:tbl>
    <w:p>
      <w:pPr>
        <w:spacing w:after="20"/>
      </w:pPr>
    </w:p>
    <w:p>
      <w:pPr>
        <w:spacing w:before="1080"/>
        <w:jc w:val="center"/>
      </w:pPr>
      <w:r>
        <w:rPr>
          <w:rFonts w:ascii="Calibri" w:hAnsi="Calibri"/>
          <w:b w:val="0"/>
          <w:i/>
          <w:color w:val="657580"/>
          <w:sz w:val="20"/>
        </w:rPr>
        <w:t>verständlich • alltagstauglich • wissenschaftlich eingeordnet</w:t>
      </w:r>
    </w:p>
    <w:p>
      <w:r>
        <w:br w:type="page"/>
      </w:r>
    </w:p>
    <w:p>
      <w:pPr>
        <w:pStyle w:val="Heading1"/>
      </w:pPr>
      <w:r>
        <w:t>1. Entzündung verstehen</w:t>
      </w:r>
    </w:p>
    <w:p>
      <w:r>
        <w:t>Entzündungen sind zunächst eine sinnvolle Schutzreaktion. Sie helfen dem Körper, Krankheitserreger zu bekämpfen und Verletzungen zu reparieren. Problematisch wird es, wenn die Entzündungsaktivität dauerhaft erhöht bleibt.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EAF6F2"/>
          </w:tcPr>
          <w:p>
            <w:pPr>
              <w:spacing w:after="60"/>
            </w:pPr>
            <w:r>
              <w:rPr>
                <w:rFonts w:ascii="Calibri" w:hAnsi="Calibri"/>
                <w:b/>
                <w:i w:val="0"/>
                <w:color w:val="218C74"/>
                <w:sz w:val="24"/>
              </w:rPr>
              <w:t>Akut oder chronisch?</w:t>
              <w:br/>
            </w:r>
            <w:r>
              <w:rPr>
                <w:rFonts w:ascii="Calibri" w:hAnsi="Calibri"/>
                <w:b w:val="0"/>
                <w:i w:val="0"/>
                <w:color w:val="24323D"/>
                <w:sz w:val="21"/>
              </w:rPr>
              <w:t>Akute Entzündungen treten zum Beispiel nach einer Verletzung auf und klingen meist wieder ab. Chronische, niedriggradige Entzündungen können unbemerkt über lange Zeit bestehen und werden unter anderem durch viszerales Fettgewebe, Rauchen, Schlafmangel, Bewegungsmangel und eine ungünstige Ernährung beeinflusst.</w:t>
            </w:r>
          </w:p>
        </w:tc>
      </w:tr>
    </w:tbl>
    <w:p>
      <w:pPr>
        <w:spacing w:after="20"/>
      </w:pPr>
    </w:p>
    <w:p>
      <w:pPr>
        <w:pStyle w:val="Heading2"/>
      </w:pPr>
      <w:r>
        <w:t>Was passiert dabei im Körper?</w:t>
      </w:r>
    </w:p>
    <w:p>
      <w:pPr>
        <w:pStyle w:val="ListBullet"/>
      </w:pPr>
      <w:r>
        <w:t>Entzündungsbotenstoffe wie TNF-α, IL-1β und IL-6 können ansteigen.</w:t>
      </w:r>
    </w:p>
    <w:p>
      <w:pPr>
        <w:pStyle w:val="ListBullet"/>
      </w:pPr>
      <w:r>
        <w:t>Der Signalweg NF-κB kann entzündungsfördernde Gene anschalten.</w:t>
      </w:r>
    </w:p>
    <w:p>
      <w:pPr>
        <w:pStyle w:val="ListBullet"/>
      </w:pPr>
      <w:r>
        <w:t>Oxidativer Stress kann Zellen und Gewebe zusätzlich belasten.</w:t>
      </w:r>
    </w:p>
    <w:p>
      <w:pPr>
        <w:pStyle w:val="ListBullet"/>
      </w:pPr>
      <w:r>
        <w:t>Eine gestörte Darmbarriere kann bakterielle Bestandteile leichter in den Kreislauf gelangen lassen.</w:t>
      </w:r>
    </w:p>
    <w:p>
      <w:pPr>
        <w:pStyle w:val="Heading2"/>
      </w:pPr>
      <w:r>
        <w:t>Was Ernährung leisten kann</w:t>
      </w:r>
    </w:p>
    <w:p>
      <w:r>
        <w:t>Lebensmittel wirken nicht wie ein einzelnes Medikament. Ihre Bestandteile greifen vielmehr an mehreren Stellen gleichzeitig ein: Ballaststoffe ernähren Darmbakterien, Omega-3-Fettsäuren liefern Bausteine für entzündungsauflösende Botenstoffe und Polyphenole unterstützen antioxidative Schutzsysteme.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EAF2FA"/>
          </w:tcPr>
          <w:p>
            <w:pPr>
              <w:spacing w:after="60"/>
            </w:pPr>
            <w:r>
              <w:rPr>
                <w:rFonts w:ascii="Calibri" w:hAnsi="Calibri"/>
                <w:b/>
                <w:i w:val="0"/>
                <w:color w:val="20639B"/>
                <w:sz w:val="24"/>
              </w:rPr>
              <w:t>Realistisches Ziel</w:t>
              <w:br/>
            </w:r>
            <w:r>
              <w:rPr>
                <w:rFonts w:ascii="Calibri" w:hAnsi="Calibri"/>
                <w:b w:val="0"/>
                <w:i w:val="0"/>
                <w:color w:val="24323D"/>
                <w:sz w:val="21"/>
              </w:rPr>
              <w:t>Nicht ein einzelnes ‚Superfood‘ entscheidet, sondern das Ernährungsmuster über Wochen und Monate. Eine antientzündliche Ernährung kann eine Behandlung unterstützen, aber eine diagnostizierte Erkrankung nicht einfach wegessen.</w:t>
            </w:r>
          </w:p>
        </w:tc>
      </w:tr>
    </w:tbl>
    <w:p>
      <w:pPr>
        <w:spacing w:after="20"/>
      </w:pPr>
    </w:p>
    <w:p>
      <w:r>
        <w:br w:type="page"/>
      </w:r>
    </w:p>
    <w:p>
      <w:pPr>
        <w:pStyle w:val="Heading1"/>
      </w:pPr>
      <w:r>
        <w:t>2. Lebensmittel-Ampel</w:t>
      </w:r>
    </w:p>
    <w:p>
      <w:r>
        <w:t>Die Ampel hilft bei der Auswahl. Sie ist kein starres Verbotssystem: Häufigkeit, Menge, Verträglichkeit und die gesamte Ernährung zählen.</w:t>
      </w:r>
    </w:p>
    <w:tbl>
      <w:tblPr>
        <w:tblW w:type="dxa" w:w="9360"/>
        <w:tblLayout w:type="fixed"/>
        <w:tblLook w:firstColumn="1" w:firstRow="1" w:lastColumn="0" w:lastRow="0" w:noHBand="0" w:noVBand="1" w:val="04A0"/>
        <w:tblInd w:w="120" w:type="dxa"/>
      </w:tblPr>
      <w:tblGrid>
        <w:gridCol w:w="1700"/>
        <w:gridCol w:w="7660"/>
      </w:tblGrid>
      <w:tr>
        <w:trPr>
          <w:cantSplit/>
        </w:trPr>
        <w:tc>
          <w:tcPr>
            <w:tcW w:type="dxa" w:w="1700"/>
            <w:vAlign w:val="center"/>
            <w:tcMar>
              <w:top w:w="100" w:type="dxa"/>
              <w:start w:w="130" w:type="dxa"/>
              <w:bottom w:w="100" w:type="dxa"/>
              <w:end w:w="130" w:type="dxa"/>
            </w:tcMar>
            <w:shd w:fill="DDF2E8"/>
          </w:tcPr>
          <w:p>
            <w:r>
              <w:rPr>
                <w:rFonts w:ascii="Calibri" w:hAnsi="Calibri"/>
                <w:b/>
                <w:i w:val="0"/>
                <w:color w:val="16704A"/>
                <w:sz w:val="22"/>
              </w:rPr>
              <w:t>HÄUFIG</w:t>
            </w:r>
          </w:p>
        </w:tc>
        <w:tc>
          <w:tcPr>
            <w:tcW w:type="dxa" w:w="7660"/>
            <w:vAlign w:val="center"/>
            <w:tcMar>
              <w:top w:w="100" w:type="dxa"/>
              <w:start w:w="130" w:type="dxa"/>
              <w:bottom w:w="100" w:type="dxa"/>
              <w:end w:w="130" w:type="dxa"/>
            </w:tcMar>
            <w:shd w:fill="DDF2E8"/>
          </w:tcPr>
          <w:p>
            <w:r>
              <w:rPr>
                <w:rFonts w:ascii="Calibri" w:hAnsi="Calibri"/>
                <w:b/>
                <w:i w:val="0"/>
                <w:color w:val="24323D"/>
                <w:sz w:val="21"/>
              </w:rPr>
              <w:t>Gemüse, Hülsenfrüchte, Vollkorn, Beeren und anderes Obst, Nüsse, Samen, Kräuter, Gewürze, Wasser und ungesüßter Tee</w:t>
              <w:br/>
            </w:r>
            <w:r>
              <w:rPr>
                <w:rFonts w:ascii="Calibri" w:hAnsi="Calibri"/>
                <w:b w:val="0"/>
                <w:i w:val="0"/>
                <w:color w:val="4B5A63"/>
                <w:sz w:val="20"/>
              </w:rPr>
              <w:t>Ballaststoffe, Polyphenole, Vitamine und Mineralstoffe unterstützen Darmmikrobiom, Gefäßfunktion und antioxidative Schutzsysteme.</w:t>
            </w:r>
          </w:p>
        </w:tc>
      </w:tr>
    </w:tbl>
    <w:p>
      <w:pPr>
        <w:spacing w:after="20"/>
      </w:pPr>
    </w:p>
    <w:tbl>
      <w:tblPr>
        <w:tblW w:type="dxa" w:w="9360"/>
        <w:tblLayout w:type="fixed"/>
        <w:tblLook w:firstColumn="1" w:firstRow="1" w:lastColumn="0" w:lastRow="0" w:noHBand="0" w:noVBand="1" w:val="04A0"/>
        <w:tblInd w:w="120" w:type="dxa"/>
      </w:tblPr>
      <w:tblGrid>
        <w:gridCol w:w="1700"/>
        <w:gridCol w:w="7660"/>
      </w:tblGrid>
      <w:tr>
        <w:trPr>
          <w:cantSplit/>
        </w:trPr>
        <w:tc>
          <w:tcPr>
            <w:tcW w:type="dxa" w:w="1700"/>
            <w:vAlign w:val="center"/>
            <w:tcMar>
              <w:top w:w="100" w:type="dxa"/>
              <w:start w:w="130" w:type="dxa"/>
              <w:bottom w:w="100" w:type="dxa"/>
              <w:end w:w="130" w:type="dxa"/>
            </w:tcMar>
            <w:shd w:fill="FFF3CF"/>
          </w:tcPr>
          <w:p>
            <w:r>
              <w:rPr>
                <w:rFonts w:ascii="Calibri" w:hAnsi="Calibri"/>
                <w:b/>
                <w:i w:val="0"/>
                <w:color w:val="846000"/>
                <w:sz w:val="22"/>
              </w:rPr>
              <w:t>GEZIELT</w:t>
            </w:r>
          </w:p>
        </w:tc>
        <w:tc>
          <w:tcPr>
            <w:tcW w:type="dxa" w:w="7660"/>
            <w:vAlign w:val="center"/>
            <w:tcMar>
              <w:top w:w="100" w:type="dxa"/>
              <w:start w:w="130" w:type="dxa"/>
              <w:bottom w:w="100" w:type="dxa"/>
              <w:end w:w="130" w:type="dxa"/>
            </w:tcMar>
            <w:shd w:fill="FFF3CF"/>
          </w:tcPr>
          <w:p>
            <w:r>
              <w:rPr>
                <w:rFonts w:ascii="Calibri" w:hAnsi="Calibri"/>
                <w:b/>
                <w:i w:val="0"/>
                <w:color w:val="24323D"/>
                <w:sz w:val="21"/>
              </w:rPr>
              <w:t>Oliven- und Rapsöl, Naturjoghurt oder Kefir, Eier, Tofu, unverarbeitetes Fleisch und fettreicher Fisch</w:t>
              <w:br/>
            </w:r>
            <w:r>
              <w:rPr>
                <w:rFonts w:ascii="Calibri" w:hAnsi="Calibri"/>
                <w:b w:val="0"/>
                <w:i w:val="0"/>
                <w:color w:val="4B5A63"/>
                <w:sz w:val="20"/>
              </w:rPr>
              <w:t>Die Qualität zählt: günstige Fettsäuren, Eiweiß und fermentierte Lebensmittel können sinnvoll ergänzen.</w:t>
            </w:r>
          </w:p>
        </w:tc>
      </w:tr>
    </w:tbl>
    <w:p>
      <w:pPr>
        <w:spacing w:after="20"/>
      </w:pPr>
    </w:p>
    <w:tbl>
      <w:tblPr>
        <w:tblW w:type="dxa" w:w="9360"/>
        <w:tblLayout w:type="fixed"/>
        <w:tblLook w:firstColumn="1" w:firstRow="1" w:lastColumn="0" w:lastRow="0" w:noHBand="0" w:noVBand="1" w:val="04A0"/>
        <w:tblInd w:w="120" w:type="dxa"/>
      </w:tblPr>
      <w:tblGrid>
        <w:gridCol w:w="1700"/>
        <w:gridCol w:w="7660"/>
      </w:tblGrid>
      <w:tr>
        <w:trPr>
          <w:cantSplit/>
        </w:trPr>
        <w:tc>
          <w:tcPr>
            <w:tcW w:type="dxa" w:w="1700"/>
            <w:vAlign w:val="center"/>
            <w:tcMar>
              <w:top w:w="100" w:type="dxa"/>
              <w:start w:w="130" w:type="dxa"/>
              <w:bottom w:w="100" w:type="dxa"/>
              <w:end w:w="130" w:type="dxa"/>
            </w:tcMar>
            <w:shd w:fill="FBE3E5"/>
          </w:tcPr>
          <w:p>
            <w:r>
              <w:rPr>
                <w:rFonts w:ascii="Calibri" w:hAnsi="Calibri"/>
                <w:b/>
                <w:i w:val="0"/>
                <w:color w:val="B23A48"/>
                <w:sz w:val="22"/>
              </w:rPr>
              <w:t>SELTENER</w:t>
            </w:r>
          </w:p>
        </w:tc>
        <w:tc>
          <w:tcPr>
            <w:tcW w:type="dxa" w:w="7660"/>
            <w:vAlign w:val="center"/>
            <w:tcMar>
              <w:top w:w="100" w:type="dxa"/>
              <w:start w:w="130" w:type="dxa"/>
              <w:bottom w:w="100" w:type="dxa"/>
              <w:end w:w="130" w:type="dxa"/>
            </w:tcMar>
            <w:shd w:fill="FBE3E5"/>
          </w:tcPr>
          <w:p>
            <w:r>
              <w:rPr>
                <w:rFonts w:ascii="Calibri" w:hAnsi="Calibri"/>
                <w:b/>
                <w:i w:val="0"/>
                <w:color w:val="24323D"/>
                <w:sz w:val="21"/>
              </w:rPr>
              <w:t>Wurst, stark frittierte Speisen, Süßgetränke, große Mengen Süßigkeiten, Weißmehlprodukte, Alkohol und viele hochverarbeitete Fertigprodukte</w:t>
              <w:br/>
            </w:r>
            <w:r>
              <w:rPr>
                <w:rFonts w:ascii="Calibri" w:hAnsi="Calibri"/>
                <w:b w:val="0"/>
                <w:i w:val="0"/>
                <w:color w:val="4B5A63"/>
                <w:sz w:val="20"/>
              </w:rPr>
              <w:t>Oft energiereich und ballaststoffarm; regelmäßige große Mengen können Gewichtszunahme, Stoffwechselbelastung und Dysbiose begünstigen.</w:t>
            </w:r>
          </w:p>
        </w:tc>
      </w:tr>
    </w:tbl>
    <w:p>
      <w:pPr>
        <w:spacing w:after="20"/>
      </w:pPr>
    </w:p>
    <w:p>
      <w:pPr>
        <w:pStyle w:val="Heading2"/>
      </w:pPr>
      <w:r>
        <w:t>Die wichtigsten Qualitätsmerkmale</w:t>
      </w:r>
    </w:p>
    <w:p>
      <w:pPr>
        <w:pStyle w:val="ListBullet"/>
      </w:pPr>
      <w:r>
        <w:t>möglichst wenig verarbeitet</w:t>
      </w:r>
    </w:p>
    <w:p>
      <w:pPr>
        <w:pStyle w:val="ListBullet"/>
      </w:pPr>
      <w:r>
        <w:t>abwechslungsreich und farbenreich</w:t>
      </w:r>
    </w:p>
    <w:p>
      <w:pPr>
        <w:pStyle w:val="ListBullet"/>
      </w:pPr>
      <w:r>
        <w:t>pflanzliche Lebensmittel als Basis</w:t>
      </w:r>
    </w:p>
    <w:p>
      <w:pPr>
        <w:pStyle w:val="ListBullet"/>
      </w:pPr>
      <w:r>
        <w:t>Fettqualität statt pauschaler Fettangst</w:t>
      </w:r>
    </w:p>
    <w:p>
      <w:pPr>
        <w:pStyle w:val="ListBullet"/>
      </w:pPr>
      <w:r>
        <w:t>ganze Früchte häufiger als Saft</w:t>
      </w:r>
    </w:p>
    <w:p>
      <w:pPr>
        <w:pStyle w:val="ListBullet"/>
      </w:pPr>
      <w:r>
        <w:t>naturbelassene Eiweißquellen häufiger als Wurst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EAF6F2"/>
          </w:tcPr>
          <w:p>
            <w:pPr>
              <w:spacing w:after="60"/>
            </w:pPr>
            <w:r>
              <w:rPr>
                <w:rFonts w:ascii="Calibri" w:hAnsi="Calibri"/>
                <w:b/>
                <w:i w:val="0"/>
                <w:color w:val="218C74"/>
                <w:sz w:val="24"/>
              </w:rPr>
              <w:t>Tierische Lebensmittel</w:t>
              <w:br/>
            </w:r>
            <w:r>
              <w:rPr>
                <w:rFonts w:ascii="Calibri" w:hAnsi="Calibri"/>
                <w:b w:val="0"/>
                <w:i w:val="0"/>
                <w:color w:val="24323D"/>
                <w:sz w:val="21"/>
              </w:rPr>
              <w:t>Eine antientzündliche Ernährung muss nicht vegan sein. Unverarbeitetes Fleisch, Eier, Fisch und ungesüßte Milchprodukte können dazugehören. Entscheidend sind Menge, Verarbeitung, individuelle Verträglichkeit und wie viel Gemüse, Vollkorn und Hülsenfrüchte daneben gegessen werden.</w:t>
            </w:r>
          </w:p>
        </w:tc>
      </w:tr>
    </w:tbl>
    <w:p>
      <w:pPr>
        <w:spacing w:after="20"/>
      </w:pPr>
    </w:p>
    <w:p>
      <w:r>
        <w:br w:type="page"/>
      </w:r>
    </w:p>
    <w:p>
      <w:pPr>
        <w:pStyle w:val="Heading1"/>
      </w:pPr>
      <w:r>
        <w:t>3. Die Biochemie – einfach erklärt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4F7F9"/>
          </w:tcPr>
          <w:p>
            <w:pPr>
              <w:spacing w:after="60"/>
            </w:pPr>
            <w:r>
              <w:rPr>
                <w:rFonts w:ascii="Calibri" w:hAnsi="Calibri"/>
                <w:b/>
                <w:i w:val="0"/>
                <w:color w:val="218C74"/>
                <w:sz w:val="24"/>
              </w:rPr>
              <w:t>Ballaststoffe → Butyrat</w:t>
              <w:br/>
            </w:r>
            <w:r>
              <w:rPr>
                <w:rFonts w:ascii="Calibri" w:hAnsi="Calibri"/>
                <w:b w:val="0"/>
                <w:i w:val="0"/>
                <w:color w:val="24323D"/>
                <w:sz w:val="21"/>
              </w:rPr>
              <w:t>Darmbakterien bilden aus bestimmten Ballaststoffen kurzkettige Fettsäuren. Butyrat dient Darmzellen als Energiequelle und unterstützt Darmbarriere und Immunregulation.</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4F7F9"/>
          </w:tcPr>
          <w:p>
            <w:pPr>
              <w:spacing w:after="60"/>
            </w:pPr>
            <w:r>
              <w:rPr>
                <w:rFonts w:ascii="Calibri" w:hAnsi="Calibri"/>
                <w:b/>
                <w:i w:val="0"/>
                <w:color w:val="20639B"/>
                <w:sz w:val="24"/>
              </w:rPr>
              <w:t>Omega-3 → Entzündungsauflösung</w:t>
              <w:br/>
            </w:r>
            <w:r>
              <w:rPr>
                <w:rFonts w:ascii="Calibri" w:hAnsi="Calibri"/>
                <w:b w:val="0"/>
                <w:i w:val="0"/>
                <w:color w:val="24323D"/>
                <w:sz w:val="21"/>
              </w:rPr>
              <w:t>EPA und DHA aus fettreichem Fisch sind Ausgangsstoffe für Resolvine, Protectine und Maresine. Diese helfen dem Körper, eine Entzündungsreaktion geordnet zu beenden.</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4F7F9"/>
          </w:tcPr>
          <w:p>
            <w:pPr>
              <w:spacing w:after="60"/>
            </w:pPr>
            <w:r>
              <w:rPr>
                <w:rFonts w:ascii="Calibri" w:hAnsi="Calibri"/>
                <w:b/>
                <w:i w:val="0"/>
                <w:color w:val="7A4E9D"/>
                <w:sz w:val="24"/>
              </w:rPr>
              <w:t>Polyphenole → Zellschutz</w:t>
              <w:br/>
            </w:r>
            <w:r>
              <w:rPr>
                <w:rFonts w:ascii="Calibri" w:hAnsi="Calibri"/>
                <w:b w:val="0"/>
                <w:i w:val="0"/>
                <w:color w:val="24323D"/>
                <w:sz w:val="21"/>
              </w:rPr>
              <w:t>Farbstoffe und Bitterstoffe aus Pflanzen können Nrf2-abhängige Schutzsysteme unterstützen und entzündungsfördernde Signalwege wie NF-κB beeinflussen.</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4F7F9"/>
          </w:tcPr>
          <w:p>
            <w:pPr>
              <w:spacing w:after="60"/>
            </w:pPr>
            <w:r>
              <w:rPr>
                <w:rFonts w:ascii="Calibri" w:hAnsi="Calibri"/>
                <w:b/>
                <w:i w:val="0"/>
                <w:color w:val="B06A20"/>
                <w:sz w:val="24"/>
              </w:rPr>
              <w:t>Blutzucker &amp; Fettgewebe</w:t>
              <w:br/>
            </w:r>
            <w:r>
              <w:rPr>
                <w:rFonts w:ascii="Calibri" w:hAnsi="Calibri"/>
                <w:b w:val="0"/>
                <w:i w:val="0"/>
                <w:color w:val="24323D"/>
                <w:sz w:val="21"/>
              </w:rPr>
              <w:t>Starke Energieüberschüsse und viel viszerales Fettgewebe fördern entzündliche Botenstoffe. Regelmäßige, ballaststoffreiche Mahlzeiten erleichtern eine günstigere Stoffwechsellage.</w:t>
            </w:r>
          </w:p>
        </w:tc>
      </w:tr>
    </w:tbl>
    <w:p>
      <w:pPr>
        <w:spacing w:after="20"/>
      </w:pPr>
    </w:p>
    <w:p>
      <w:pPr>
        <w:pStyle w:val="Heading2"/>
      </w:pPr>
      <w:r>
        <w:t>Verbindung zum Endocannabinoidsystem</w:t>
      </w:r>
    </w:p>
    <w:p>
      <w:r>
        <w:t>Das Endocannabinoidsystem beteiligt sich an Appetit, Schmerz, Stressreaktion, Darmfunktion und Immunregulation. Fettsäuren liefern Bausteine für körpereigene Endocannabinoide. Ernährung verändert das System jedoch überwiegend indirekt – etwa über Fettsäurezusammensetzung, Mikrobiom, Stoffwechsel und Entzündungsniveau.</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FF8DF"/>
          </w:tcPr>
          <w:p>
            <w:pPr>
              <w:spacing w:after="60"/>
            </w:pPr>
            <w:r>
              <w:rPr>
                <w:rFonts w:ascii="Calibri" w:hAnsi="Calibri"/>
                <w:b/>
                <w:i w:val="0"/>
                <w:color w:val="8B6508"/>
                <w:sz w:val="24"/>
              </w:rPr>
              <w:t>Wichtig</w:t>
              <w:br/>
            </w:r>
            <w:r>
              <w:rPr>
                <w:rFonts w:ascii="Calibri" w:hAnsi="Calibri"/>
                <w:b w:val="0"/>
                <w:i w:val="0"/>
                <w:color w:val="24323D"/>
                <w:sz w:val="21"/>
              </w:rPr>
              <w:t>Eine einzelne Zutat ‚aktiviert‘ nicht gezielt einen Rezeptor im ganzen Körper. Lebensmittel wirken als komplexe Mischung und meist schwächer, dafür regelmäßig und über viele Stoffwechselwege.</w:t>
            </w:r>
          </w:p>
        </w:tc>
      </w:tr>
    </w:tbl>
    <w:p>
      <w:pPr>
        <w:spacing w:after="20"/>
      </w:pPr>
    </w:p>
    <w:p>
      <w:r>
        <w:br w:type="page"/>
      </w:r>
    </w:p>
    <w:p>
      <w:pPr>
        <w:pStyle w:val="Heading1"/>
      </w:pPr>
      <w:r>
        <w:t>4. So sieht ein guter Alltagsteller aus</w:t>
      </w:r>
    </w:p>
    <w:tbl>
      <w:tblPr>
        <w:tblW w:type="dxa" w:w="9360"/>
        <w:tblLayout w:type="fixed"/>
        <w:tblLook w:firstColumn="1" w:firstRow="1" w:lastColumn="0" w:lastRow="0" w:noHBand="0" w:noVBand="1" w:val="04A0"/>
        <w:tblInd w:w="120" w:type="dxa"/>
      </w:tblPr>
      <w:tblGrid>
        <w:gridCol w:w="3000"/>
        <w:gridCol w:w="6360"/>
      </w:tblGrid>
      <w:tr>
        <w:trPr>
          <w:cantSplit/>
        </w:trPr>
        <w:tc>
          <w:tcPr>
            <w:tcW w:type="dxa" w:w="3000"/>
            <w:vAlign w:val="center"/>
            <w:tcMar>
              <w:top w:w="100" w:type="dxa"/>
              <w:start w:w="130" w:type="dxa"/>
              <w:bottom w:w="100" w:type="dxa"/>
              <w:end w:w="130" w:type="dxa"/>
            </w:tcMar>
            <w:shd w:fill="DDF2E8"/>
          </w:tcPr>
          <w:p>
            <w:r>
              <w:rPr>
                <w:rFonts w:ascii="Calibri" w:hAnsi="Calibri"/>
                <w:b/>
                <w:i w:val="0"/>
                <w:color w:val="218C74"/>
                <w:sz w:val="30"/>
              </w:rPr>
              <w:t>½ Teller</w:t>
            </w:r>
          </w:p>
        </w:tc>
        <w:tc>
          <w:tcPr>
            <w:tcW w:type="dxa" w:w="6360"/>
            <w:vAlign w:val="center"/>
            <w:tcMar>
              <w:top w:w="100" w:type="dxa"/>
              <w:start w:w="130" w:type="dxa"/>
              <w:bottom w:w="100" w:type="dxa"/>
              <w:end w:w="130" w:type="dxa"/>
            </w:tcMar>
          </w:tcPr>
          <w:p>
            <w:r>
              <w:rPr>
                <w:rFonts w:ascii="Calibri" w:hAnsi="Calibri"/>
                <w:b w:val="0"/>
                <w:i w:val="0"/>
                <w:color w:val="24323D"/>
                <w:sz w:val="22"/>
              </w:rPr>
              <w:t>Gemüse oder Salat</w:t>
              <w:br/>
              <w:t>Farben mischen: grün, rot, orange, violett</w:t>
            </w:r>
          </w:p>
        </w:tc>
      </w:tr>
      <w:tr>
        <w:trPr>
          <w:cantSplit/>
        </w:trPr>
        <w:tc>
          <w:tcPr>
            <w:tcW w:type="dxa" w:w="3000"/>
            <w:vAlign w:val="center"/>
            <w:tcMar>
              <w:top w:w="100" w:type="dxa"/>
              <w:start w:w="130" w:type="dxa"/>
              <w:bottom w:w="100" w:type="dxa"/>
              <w:end w:w="130" w:type="dxa"/>
            </w:tcMar>
            <w:shd w:fill="EAF2FA"/>
          </w:tcPr>
          <w:p>
            <w:r>
              <w:rPr>
                <w:rFonts w:ascii="Calibri" w:hAnsi="Calibri"/>
                <w:b/>
                <w:i w:val="0"/>
                <w:color w:val="20639B"/>
                <w:sz w:val="30"/>
              </w:rPr>
              <w:t>¼ Teller</w:t>
            </w:r>
          </w:p>
        </w:tc>
        <w:tc>
          <w:tcPr>
            <w:tcW w:type="dxa" w:w="6360"/>
            <w:vAlign w:val="center"/>
            <w:tcMar>
              <w:top w:w="100" w:type="dxa"/>
              <w:start w:w="130" w:type="dxa"/>
              <w:bottom w:w="100" w:type="dxa"/>
              <w:end w:w="130" w:type="dxa"/>
            </w:tcMar>
          </w:tcPr>
          <w:p>
            <w:r>
              <w:rPr>
                <w:rFonts w:ascii="Calibri" w:hAnsi="Calibri"/>
                <w:b w:val="0"/>
                <w:i w:val="0"/>
                <w:color w:val="24323D"/>
                <w:sz w:val="22"/>
              </w:rPr>
              <w:t>Kartoffeln, Vollkorn oder Hülsenfrüchte</w:t>
              <w:br/>
              <w:t>Zum Beispiel Hafer, Gerste, Naturreis, Linsen</w:t>
            </w:r>
          </w:p>
        </w:tc>
      </w:tr>
      <w:tr>
        <w:trPr>
          <w:cantSplit/>
        </w:trPr>
        <w:tc>
          <w:tcPr>
            <w:tcW w:type="dxa" w:w="3000"/>
            <w:vAlign w:val="center"/>
            <w:tcMar>
              <w:top w:w="100" w:type="dxa"/>
              <w:start w:w="130" w:type="dxa"/>
              <w:bottom w:w="100" w:type="dxa"/>
              <w:end w:w="130" w:type="dxa"/>
            </w:tcMar>
            <w:shd w:fill="FFF3CF"/>
          </w:tcPr>
          <w:p>
            <w:r>
              <w:rPr>
                <w:rFonts w:ascii="Calibri" w:hAnsi="Calibri"/>
                <w:b/>
                <w:i w:val="0"/>
                <w:color w:val="846000"/>
                <w:sz w:val="30"/>
              </w:rPr>
              <w:t>¼ Teller</w:t>
            </w:r>
          </w:p>
        </w:tc>
        <w:tc>
          <w:tcPr>
            <w:tcW w:type="dxa" w:w="6360"/>
            <w:vAlign w:val="center"/>
            <w:tcMar>
              <w:top w:w="100" w:type="dxa"/>
              <w:start w:w="130" w:type="dxa"/>
              <w:bottom w:w="100" w:type="dxa"/>
              <w:end w:w="130" w:type="dxa"/>
            </w:tcMar>
          </w:tcPr>
          <w:p>
            <w:r>
              <w:rPr>
                <w:rFonts w:ascii="Calibri" w:hAnsi="Calibri"/>
                <w:b w:val="0"/>
                <w:i w:val="0"/>
                <w:color w:val="24323D"/>
                <w:sz w:val="22"/>
              </w:rPr>
              <w:t>Eiweißquelle</w:t>
              <w:br/>
              <w:t>Zum Beispiel Bohnen, Tofu, Fisch, Ei, Naturjoghurt oder unverarbeitetes Fleisch</w:t>
            </w:r>
          </w:p>
        </w:tc>
      </w:tr>
    </w:tbl>
    <w:p>
      <w:pPr>
        <w:pStyle w:val="Heading2"/>
      </w:pPr>
      <w:r>
        <w:t>Ein einfacher Beispieltag</w:t>
      </w:r>
    </w:p>
    <w:p>
      <w:r>
        <w:rPr>
          <w:rFonts w:ascii="Calibri" w:hAnsi="Calibri"/>
          <w:b/>
          <w:i w:val="0"/>
          <w:color w:val="20639B"/>
          <w:sz w:val="22"/>
        </w:rPr>
        <w:t xml:space="preserve">Frühstück: </w:t>
      </w:r>
      <w:r>
        <w:t>Haferflocken mit Naturjoghurt oder Sojajoghurt, Beeren, Walnüssen und geschroteten Leinsamen</w:t>
      </w:r>
    </w:p>
    <w:p>
      <w:r>
        <w:rPr>
          <w:rFonts w:ascii="Calibri" w:hAnsi="Calibri"/>
          <w:b/>
          <w:i w:val="0"/>
          <w:color w:val="20639B"/>
          <w:sz w:val="22"/>
        </w:rPr>
        <w:t xml:space="preserve">Mittagessen: </w:t>
      </w:r>
      <w:r>
        <w:t>Linsen-Gemüse-Pfanne mit Naturreis und etwas Olivenöl</w:t>
      </w:r>
    </w:p>
    <w:p>
      <w:r>
        <w:rPr>
          <w:rFonts w:ascii="Calibri" w:hAnsi="Calibri"/>
          <w:b/>
          <w:i w:val="0"/>
          <w:color w:val="20639B"/>
          <w:sz w:val="22"/>
        </w:rPr>
        <w:t xml:space="preserve">Zwischenmahlzeit: </w:t>
      </w:r>
      <w:r>
        <w:t>Apfel oder Beeren mit einer kleinen Handvoll Nüsse</w:t>
      </w:r>
    </w:p>
    <w:p>
      <w:r>
        <w:rPr>
          <w:rFonts w:ascii="Calibri" w:hAnsi="Calibri"/>
          <w:b/>
          <w:i w:val="0"/>
          <w:color w:val="20639B"/>
          <w:sz w:val="22"/>
        </w:rPr>
        <w:t xml:space="preserve">Abendessen: </w:t>
      </w:r>
      <w:r>
        <w:t>Ofengemüse mit Kartoffeln und Fisch, Tofu, Ei oder Bohnen</w:t>
      </w:r>
    </w:p>
    <w:p>
      <w:pPr>
        <w:pStyle w:val="Heading2"/>
      </w:pPr>
      <w:r>
        <w:t>Kleine Schritte, die viel bewirken</w:t>
      </w:r>
    </w:p>
    <w:p>
      <w:pPr>
        <w:pStyle w:val="ListBullet"/>
      </w:pPr>
      <w:r>
        <w:t>Eine Gemüseportion mehr am Tag</w:t>
      </w:r>
    </w:p>
    <w:p>
      <w:pPr>
        <w:pStyle w:val="ListBullet"/>
      </w:pPr>
      <w:r>
        <w:t>Weißbrot öfter durch Vollkorn ersetzen</w:t>
      </w:r>
    </w:p>
    <w:p>
      <w:pPr>
        <w:pStyle w:val="ListBullet"/>
      </w:pPr>
      <w:r>
        <w:t>Zweimal pro Woche Hülsenfrüchte einplanen</w:t>
      </w:r>
    </w:p>
    <w:p>
      <w:pPr>
        <w:pStyle w:val="ListBullet"/>
      </w:pPr>
      <w:r>
        <w:t>Wurst häufiger durch wenig verarbeitete Alternativen ersetzen</w:t>
      </w:r>
    </w:p>
    <w:p>
      <w:pPr>
        <w:pStyle w:val="ListBullet"/>
      </w:pPr>
      <w:r>
        <w:t>Wasser oder Tee statt Süßgetränk</w:t>
      </w:r>
    </w:p>
    <w:p>
      <w:pPr>
        <w:pStyle w:val="ListBullet"/>
      </w:pPr>
      <w:r>
        <w:t>Kräuter und Gewürze regelmäßig nutzen</w:t>
      </w:r>
    </w:p>
    <w:p>
      <w:r>
        <w:br w:type="page"/>
      </w:r>
    </w:p>
    <w:p>
      <w:pPr>
        <w:pStyle w:val="Heading1"/>
      </w:pPr>
      <w:r>
        <w:t>5. Cannabis und Entzündungen</w:t>
      </w:r>
    </w:p>
    <w:p>
      <w:r>
        <w:t>Cannabis enthält Cannabinoide, Terpene und Flavonoide. Einige dieser Stoffe beeinflussen in Labor- und Tiermodellen Entzündungs- und Schmerzwege. Das bedeutet jedoch nicht automatisch, dass sie bei Menschen eine Erkrankung zuverlässig behandeln.</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FF8DF"/>
          </w:tcPr>
          <w:p>
            <w:pPr>
              <w:spacing w:after="60"/>
            </w:pPr>
            <w:r>
              <w:rPr>
                <w:rFonts w:ascii="Calibri" w:hAnsi="Calibri"/>
                <w:b/>
                <w:i w:val="0"/>
                <w:color w:val="8B6508"/>
                <w:sz w:val="24"/>
              </w:rPr>
              <w:t>Drei verschiedene Ziele</w:t>
              <w:br/>
            </w:r>
            <w:r>
              <w:rPr>
                <w:rFonts w:ascii="Calibri" w:hAnsi="Calibri"/>
                <w:b w:val="0"/>
                <w:i w:val="0"/>
                <w:color w:val="24323D"/>
                <w:sz w:val="21"/>
              </w:rPr>
              <w:t>Entzündung verringern, Schmerzen lindern und Schlaf verbessern sind nicht dasselbe. Ein Mittel kann Schmerzen oder Schlaf verbessern, ohne die zugrunde liegende Entzündung messbar zu senken.</w:t>
            </w:r>
          </w:p>
        </w:tc>
      </w:tr>
    </w:tbl>
    <w:p>
      <w:pPr>
        <w:spacing w:after="20"/>
      </w:pPr>
    </w:p>
    <w:p>
      <w:pPr>
        <w:pStyle w:val="Heading2"/>
      </w:pPr>
      <w:r>
        <w:t>Nicht oder kaum berauschende Cannabinoide</w:t>
      </w:r>
    </w:p>
    <w:tbl>
      <w:tblPr>
        <w:tblW w:type="dxa" w:w="9360"/>
        <w:tblLayout w:type="fixed"/>
        <w:tblLook w:firstColumn="1" w:firstRow="1" w:lastColumn="0" w:lastRow="0" w:noHBand="0" w:noVBand="1" w:val="04A0"/>
        <w:tblInd w:w="120" w:type="dxa"/>
        <w:tblInd w:w="120" w:type="dxa"/>
      </w:tblPr>
      <w:tblGrid>
        <w:gridCol w:w="1500"/>
        <w:gridCol w:w="2200"/>
        <w:gridCol w:w="5660"/>
      </w:tblGrid>
      <w:tr>
        <w:trPr>
          <w:cantSplit/>
        </w:trPr>
        <w:tc>
          <w:tcPr>
            <w:tcW w:type="dxa" w:w="1500"/>
            <w:vAlign w:val="center"/>
            <w:tcMar>
              <w:top w:w="100" w:type="dxa"/>
              <w:start w:w="130" w:type="dxa"/>
              <w:bottom w:w="100" w:type="dxa"/>
              <w:end w:w="130" w:type="dxa"/>
            </w:tcMar>
            <w:shd w:fill="D7E6ED"/>
          </w:tcPr>
          <w:p>
            <w:r>
              <w:rPr>
                <w:rFonts w:ascii="Calibri" w:hAnsi="Calibri"/>
                <w:b/>
                <w:i w:val="0"/>
                <w:color w:val="173F5F"/>
                <w:sz w:val="21"/>
              </w:rPr>
              <w:t>Stoff</w:t>
            </w:r>
          </w:p>
        </w:tc>
        <w:tc>
          <w:tcPr>
            <w:tcW w:type="dxa" w:w="2200"/>
            <w:vAlign w:val="center"/>
            <w:tcMar>
              <w:top w:w="100" w:type="dxa"/>
              <w:start w:w="130" w:type="dxa"/>
              <w:bottom w:w="100" w:type="dxa"/>
              <w:end w:w="130" w:type="dxa"/>
            </w:tcMar>
            <w:shd w:fill="D7E6ED"/>
          </w:tcPr>
          <w:p>
            <w:r>
              <w:rPr>
                <w:rFonts w:ascii="Calibri" w:hAnsi="Calibri"/>
                <w:b/>
                <w:i w:val="0"/>
                <w:color w:val="173F5F"/>
                <w:sz w:val="21"/>
              </w:rPr>
              <w:t>Rausch?</w:t>
            </w:r>
          </w:p>
        </w:tc>
        <w:tc>
          <w:tcPr>
            <w:tcW w:type="dxa" w:w="5660"/>
            <w:vAlign w:val="center"/>
            <w:tcMar>
              <w:top w:w="100" w:type="dxa"/>
              <w:start w:w="130" w:type="dxa"/>
              <w:bottom w:w="100" w:type="dxa"/>
              <w:end w:w="130" w:type="dxa"/>
            </w:tcMar>
            <w:shd w:fill="D7E6ED"/>
          </w:tcPr>
          <w:p>
            <w:r>
              <w:rPr>
                <w:rFonts w:ascii="Calibri" w:hAnsi="Calibri"/>
                <w:b/>
                <w:i w:val="0"/>
                <w:color w:val="173F5F"/>
                <w:sz w:val="21"/>
              </w:rPr>
              <w:t>Einordnung</w:t>
            </w:r>
          </w:p>
        </w:tc>
      </w:tr>
      <w:tr>
        <w:trPr>
          <w:cantSplit/>
        </w:trPr>
        <w:tc>
          <w:tcPr>
            <w:tcW w:type="dxa" w:w="1500"/>
            <w:vAlign w:val="center"/>
            <w:tcMar>
              <w:top w:w="100" w:type="dxa"/>
              <w:start w:w="130" w:type="dxa"/>
              <w:bottom w:w="100" w:type="dxa"/>
              <w:end w:w="130" w:type="dxa"/>
            </w:tcMar>
          </w:tcPr>
          <w:p>
            <w:r>
              <w:rPr>
                <w:rFonts w:ascii="Calibri" w:hAnsi="Calibri"/>
                <w:b/>
                <w:i w:val="0"/>
                <w:color w:val="218C74"/>
                <w:sz w:val="21"/>
              </w:rPr>
              <w:t>CBD</w:t>
            </w:r>
          </w:p>
        </w:tc>
        <w:tc>
          <w:tcPr>
            <w:tcW w:type="dxa" w:w="2200"/>
            <w:vAlign w:val="center"/>
            <w:tcMar>
              <w:top w:w="100" w:type="dxa"/>
              <w:start w:w="130" w:type="dxa"/>
              <w:bottom w:w="100" w:type="dxa"/>
              <w:end w:w="130" w:type="dxa"/>
            </w:tcMar>
          </w:tcPr>
          <w:p>
            <w:r>
              <w:rPr>
                <w:rFonts w:ascii="Calibri" w:hAnsi="Calibri"/>
                <w:b w:val="0"/>
                <w:i w:val="0"/>
                <w:color w:val="24323D"/>
                <w:sz w:val="19"/>
              </w:rPr>
              <w:t>nicht berauschend</w:t>
            </w:r>
          </w:p>
        </w:tc>
        <w:tc>
          <w:tcPr>
            <w:tcW w:type="dxa" w:w="5660"/>
            <w:vAlign w:val="center"/>
            <w:tcMar>
              <w:top w:w="100" w:type="dxa"/>
              <w:start w:w="130" w:type="dxa"/>
              <w:bottom w:w="100" w:type="dxa"/>
              <w:end w:w="130" w:type="dxa"/>
            </w:tcMar>
          </w:tcPr>
          <w:p>
            <w:r>
              <w:rPr>
                <w:rFonts w:ascii="Calibri" w:hAnsi="Calibri"/>
                <w:b w:val="0"/>
                <w:i w:val="0"/>
                <w:color w:val="24323D"/>
                <w:sz w:val="19"/>
              </w:rPr>
              <w:t>TRPV1, PPARγ, Adenosin- und Redoxsignalwege werden untersucht. Die klinische Wirkung hängt stark von Erkrankung, Dosis und Präparat ab.</w:t>
            </w:r>
          </w:p>
        </w:tc>
      </w:tr>
      <w:tr>
        <w:trPr>
          <w:cantSplit/>
        </w:trPr>
        <w:tc>
          <w:tcPr>
            <w:tcW w:type="dxa" w:w="1500"/>
            <w:vAlign w:val="center"/>
            <w:tcMar>
              <w:top w:w="100" w:type="dxa"/>
              <w:start w:w="130" w:type="dxa"/>
              <w:bottom w:w="100" w:type="dxa"/>
              <w:end w:w="130" w:type="dxa"/>
            </w:tcMar>
          </w:tcPr>
          <w:p>
            <w:r>
              <w:rPr>
                <w:rFonts w:ascii="Calibri" w:hAnsi="Calibri"/>
                <w:b/>
                <w:i w:val="0"/>
                <w:color w:val="218C74"/>
                <w:sz w:val="21"/>
              </w:rPr>
              <w:t>CBG</w:t>
            </w:r>
          </w:p>
        </w:tc>
        <w:tc>
          <w:tcPr>
            <w:tcW w:type="dxa" w:w="2200"/>
            <w:vAlign w:val="center"/>
            <w:tcMar>
              <w:top w:w="100" w:type="dxa"/>
              <w:start w:w="130" w:type="dxa"/>
              <w:bottom w:w="100" w:type="dxa"/>
              <w:end w:w="130" w:type="dxa"/>
            </w:tcMar>
          </w:tcPr>
          <w:p>
            <w:r>
              <w:rPr>
                <w:rFonts w:ascii="Calibri" w:hAnsi="Calibri"/>
                <w:b w:val="0"/>
                <w:i w:val="0"/>
                <w:color w:val="24323D"/>
                <w:sz w:val="19"/>
              </w:rPr>
              <w:t>nicht berauschend</w:t>
            </w:r>
          </w:p>
        </w:tc>
        <w:tc>
          <w:tcPr>
            <w:tcW w:type="dxa" w:w="5660"/>
            <w:vAlign w:val="center"/>
            <w:tcMar>
              <w:top w:w="100" w:type="dxa"/>
              <w:start w:w="130" w:type="dxa"/>
              <w:bottom w:w="100" w:type="dxa"/>
              <w:end w:w="130" w:type="dxa"/>
            </w:tcMar>
          </w:tcPr>
          <w:p>
            <w:r>
              <w:rPr>
                <w:rFonts w:ascii="Calibri" w:hAnsi="Calibri"/>
                <w:b w:val="0"/>
                <w:i w:val="0"/>
                <w:color w:val="24323D"/>
                <w:sz w:val="19"/>
              </w:rPr>
              <w:t>Interessante Effekte auf TRP-Kanäle, adrenerge Rezeptoren und Entzündungssignale – bislang überwiegend präklinisch.</w:t>
            </w:r>
          </w:p>
        </w:tc>
      </w:tr>
      <w:tr>
        <w:trPr>
          <w:cantSplit/>
        </w:trPr>
        <w:tc>
          <w:tcPr>
            <w:tcW w:type="dxa" w:w="1500"/>
            <w:vAlign w:val="center"/>
            <w:tcMar>
              <w:top w:w="100" w:type="dxa"/>
              <w:start w:w="130" w:type="dxa"/>
              <w:bottom w:w="100" w:type="dxa"/>
              <w:end w:w="130" w:type="dxa"/>
            </w:tcMar>
          </w:tcPr>
          <w:p>
            <w:r>
              <w:rPr>
                <w:rFonts w:ascii="Calibri" w:hAnsi="Calibri"/>
                <w:b/>
                <w:i w:val="0"/>
                <w:color w:val="218C74"/>
                <w:sz w:val="21"/>
              </w:rPr>
              <w:t>CBC</w:t>
            </w:r>
          </w:p>
        </w:tc>
        <w:tc>
          <w:tcPr>
            <w:tcW w:type="dxa" w:w="2200"/>
            <w:vAlign w:val="center"/>
            <w:tcMar>
              <w:top w:w="100" w:type="dxa"/>
              <w:start w:w="130" w:type="dxa"/>
              <w:bottom w:w="100" w:type="dxa"/>
              <w:end w:w="130" w:type="dxa"/>
            </w:tcMar>
          </w:tcPr>
          <w:p>
            <w:r>
              <w:rPr>
                <w:rFonts w:ascii="Calibri" w:hAnsi="Calibri"/>
                <w:b w:val="0"/>
                <w:i w:val="0"/>
                <w:color w:val="24323D"/>
                <w:sz w:val="19"/>
              </w:rPr>
              <w:t>nicht berauschend</w:t>
            </w:r>
          </w:p>
        </w:tc>
        <w:tc>
          <w:tcPr>
            <w:tcW w:type="dxa" w:w="5660"/>
            <w:vAlign w:val="center"/>
            <w:tcMar>
              <w:top w:w="100" w:type="dxa"/>
              <w:start w:w="130" w:type="dxa"/>
              <w:bottom w:w="100" w:type="dxa"/>
              <w:end w:w="130" w:type="dxa"/>
            </w:tcMar>
          </w:tcPr>
          <w:p>
            <w:r>
              <w:rPr>
                <w:rFonts w:ascii="Calibri" w:hAnsi="Calibri"/>
                <w:b w:val="0"/>
                <w:i w:val="0"/>
                <w:color w:val="24323D"/>
                <w:sz w:val="19"/>
              </w:rPr>
              <w:t>CB2- und TRP-vermittelte Wirkungen werden diskutiert. Aussagekräftige Humanstudien und feste Dosierungen fehlen.</w:t>
            </w:r>
          </w:p>
        </w:tc>
      </w:tr>
      <w:tr>
        <w:trPr>
          <w:cantSplit/>
        </w:trPr>
        <w:tc>
          <w:tcPr>
            <w:tcW w:type="dxa" w:w="1500"/>
            <w:vAlign w:val="center"/>
            <w:tcMar>
              <w:top w:w="100" w:type="dxa"/>
              <w:start w:w="130" w:type="dxa"/>
              <w:bottom w:w="100" w:type="dxa"/>
              <w:end w:w="130" w:type="dxa"/>
            </w:tcMar>
          </w:tcPr>
          <w:p>
            <w:r>
              <w:rPr>
                <w:rFonts w:ascii="Calibri" w:hAnsi="Calibri"/>
                <w:b/>
                <w:i w:val="0"/>
                <w:color w:val="218C74"/>
                <w:sz w:val="21"/>
              </w:rPr>
              <w:t>CBDA / THCA</w:t>
            </w:r>
          </w:p>
        </w:tc>
        <w:tc>
          <w:tcPr>
            <w:tcW w:type="dxa" w:w="2200"/>
            <w:vAlign w:val="center"/>
            <w:tcMar>
              <w:top w:w="100" w:type="dxa"/>
              <w:start w:w="130" w:type="dxa"/>
              <w:bottom w:w="100" w:type="dxa"/>
              <w:end w:w="130" w:type="dxa"/>
            </w:tcMar>
          </w:tcPr>
          <w:p>
            <w:r>
              <w:rPr>
                <w:rFonts w:ascii="Calibri" w:hAnsi="Calibri"/>
                <w:b w:val="0"/>
                <w:i w:val="0"/>
                <w:color w:val="24323D"/>
                <w:sz w:val="19"/>
              </w:rPr>
              <w:t>nicht berauschend, solange THCA nicht erhitzt wird</w:t>
            </w:r>
          </w:p>
        </w:tc>
        <w:tc>
          <w:tcPr>
            <w:tcW w:type="dxa" w:w="5660"/>
            <w:vAlign w:val="center"/>
            <w:tcMar>
              <w:top w:w="100" w:type="dxa"/>
              <w:start w:w="130" w:type="dxa"/>
              <w:bottom w:w="100" w:type="dxa"/>
              <w:end w:w="130" w:type="dxa"/>
            </w:tcMar>
          </w:tcPr>
          <w:p>
            <w:r>
              <w:rPr>
                <w:rFonts w:ascii="Calibri" w:hAnsi="Calibri"/>
                <w:b w:val="0"/>
                <w:i w:val="0"/>
                <w:color w:val="24323D"/>
                <w:sz w:val="19"/>
              </w:rPr>
              <w:t>Frühe Laborbefunde; Stabilität, Aufnahme und klinische Wirksamkeit sind noch nicht ausreichend geklärt.</w:t>
            </w:r>
          </w:p>
        </w:tc>
      </w:tr>
    </w:tbl>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EAF2FA"/>
          </w:tcPr>
          <w:p>
            <w:pPr>
              <w:spacing w:after="60"/>
            </w:pPr>
            <w:r>
              <w:rPr>
                <w:rFonts w:ascii="Calibri" w:hAnsi="Calibri"/>
                <w:b/>
                <w:i w:val="0"/>
                <w:color w:val="20639B"/>
                <w:sz w:val="24"/>
              </w:rPr>
              <w:t>Evidenz ehrlich einordnen</w:t>
              <w:br/>
            </w:r>
            <w:r>
              <w:rPr>
                <w:rFonts w:ascii="Calibri" w:hAnsi="Calibri"/>
                <w:b w:val="0"/>
                <w:i w:val="0"/>
                <w:color w:val="24323D"/>
                <w:sz w:val="21"/>
              </w:rPr>
              <w:t>CBD ist am besten untersucht, aber auch für CBD besteht keine allgemeine Zulassung als Entzündungshemmer. Bei CBG, CBC, CBDA und THCA stammen viele Aussagen aus Zell- oder Tiermodellen.</w:t>
            </w:r>
          </w:p>
        </w:tc>
      </w:tr>
    </w:tbl>
    <w:p>
      <w:pPr>
        <w:spacing w:after="20"/>
      </w:pPr>
    </w:p>
    <w:p>
      <w:r>
        <w:br w:type="page"/>
      </w:r>
    </w:p>
    <w:p>
      <w:pPr>
        <w:pStyle w:val="Heading1"/>
      </w:pPr>
      <w:r>
        <w:t>6. Δ9-THC: nur teilweise geeignet</w:t>
      </w:r>
    </w:p>
    <w:p>
      <w:r>
        <w:t>Δ9-THC aktiviert CB1- und CB2-Rezeptoren. CB2-Signale können Entzündungsreaktionen beeinflussen. Gleichzeitig verursacht die CB1-Wirkung im Gehirn den Rausch und ist mit unerwünschten Wirkungen verbunden.</w:t>
      </w:r>
    </w:p>
    <w:p>
      <w:pPr>
        <w:pStyle w:val="Heading2"/>
      </w:pPr>
      <w:r>
        <w:t>Wann THC medizinisch helfen kann</w:t>
      </w:r>
    </w:p>
    <w:p>
      <w:pPr>
        <w:pStyle w:val="ListBullet"/>
      </w:pPr>
      <w:r>
        <w:t>bei bestimmten chronischen Schmerzen</w:t>
      </w:r>
    </w:p>
    <w:p>
      <w:pPr>
        <w:pStyle w:val="ListBullet"/>
      </w:pPr>
      <w:r>
        <w:t>bei Spastik</w:t>
      </w:r>
    </w:p>
    <w:p>
      <w:pPr>
        <w:pStyle w:val="ListBullet"/>
      </w:pPr>
      <w:r>
        <w:t>bei Übelkeit oder starkem Appetitverlust</w:t>
      </w:r>
    </w:p>
    <w:p>
      <w:pPr>
        <w:pStyle w:val="ListBullet"/>
      </w:pPr>
      <w:r>
        <w:t>wenn Beschwerden den Schlaf erheblich stören</w:t>
      </w:r>
    </w:p>
    <w:p>
      <w:pPr>
        <w:pStyle w:val="Heading2"/>
      </w:pPr>
      <w:r>
        <w:t>Warum THC kein einfacher Entzündungshemmer ist</w:t>
      </w:r>
    </w:p>
    <w:p>
      <w:pPr>
        <w:pStyle w:val="ListBullet"/>
      </w:pPr>
      <w:r>
        <w:t>Die Wirkung kann je nach Dosis, Gewebe und Erkrankung unterschiedlich ausfallen.</w:t>
      </w:r>
    </w:p>
    <w:p>
      <w:pPr>
        <w:pStyle w:val="ListBullet"/>
      </w:pPr>
      <w:r>
        <w:t>Schmerzlinderung beweist keine Verminderung der Entzündung.</w:t>
      </w:r>
    </w:p>
    <w:p>
      <w:pPr>
        <w:pStyle w:val="ListBullet"/>
      </w:pPr>
      <w:r>
        <w:t>Rausch, Angst, Herzrasen sowie Gedächtnis- und Konzentrationsprobleme sind möglich.</w:t>
      </w:r>
    </w:p>
    <w:p>
      <w:pPr>
        <w:pStyle w:val="ListBullet"/>
      </w:pPr>
      <w:r>
        <w:t>Regelmäßiger Konsum kann Toleranz und Abhängigkeit fördern.</w:t>
      </w:r>
    </w:p>
    <w:p>
      <w:pPr>
        <w:pStyle w:val="ListBullet"/>
      </w:pPr>
      <w:r>
        <w:t>THC kann die Fahrtüchtigkeit beeinträchtigen und bei Veranlagung psychotische Symptome begünstigen.</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BE3E5"/>
          </w:tcPr>
          <w:p>
            <w:pPr>
              <w:spacing w:after="60"/>
            </w:pPr>
            <w:r>
              <w:rPr>
                <w:rFonts w:ascii="Calibri" w:hAnsi="Calibri"/>
                <w:b/>
                <w:i w:val="0"/>
                <w:color w:val="B23A48"/>
                <w:sz w:val="24"/>
              </w:rPr>
              <w:t>Praktische Schlussfolgerung</w:t>
              <w:br/>
            </w:r>
            <w:r>
              <w:rPr>
                <w:rFonts w:ascii="Calibri" w:hAnsi="Calibri"/>
                <w:b w:val="0"/>
                <w:i w:val="0"/>
                <w:color w:val="24323D"/>
                <w:sz w:val="21"/>
              </w:rPr>
              <w:t>Geht es hauptsächlich um Entzündungsmodulation, sind nicht berauschende Ansätze konzeptionell naheliegender. THC kann bei bestimmten Begleitsymptomen sinnvoll sein, sollte aber nicht allein wegen eines theoretischen CB2-Effekts eingesetzt werden.</w:t>
            </w:r>
          </w:p>
        </w:tc>
      </w:tr>
    </w:tbl>
    <w:p>
      <w:pPr>
        <w:spacing w:after="20"/>
      </w:pPr>
    </w:p>
    <w:p>
      <w:pPr>
        <w:pStyle w:val="Heading2"/>
      </w:pPr>
      <w:r>
        <w:t>Sicher anwenden</w:t>
      </w:r>
    </w:p>
    <w:p>
      <w:pPr>
        <w:pStyle w:val="ListBullet"/>
      </w:pPr>
      <w:r>
        <w:t>Nur standardisierte und laborgeprüfte Präparate verwenden.</w:t>
      </w:r>
    </w:p>
    <w:p>
      <w:pPr>
        <w:pStyle w:val="ListBullet"/>
      </w:pPr>
      <w:r>
        <w:t>Dosis und Einnahmeform ärztlich abstimmen.</w:t>
      </w:r>
    </w:p>
    <w:p>
      <w:pPr>
        <w:pStyle w:val="ListBullet"/>
      </w:pPr>
      <w:r>
        <w:t>Nicht fahren oder Maschinen bedienen, wenn eine Beeinträchtigung möglich ist.</w:t>
      </w:r>
    </w:p>
    <w:p>
      <w:pPr>
        <w:pStyle w:val="ListBullet"/>
      </w:pPr>
      <w:r>
        <w:t>Bei Schwangerschaft, Stillzeit, Psychosevorgeschichte oder erheblichen Herz-Kreislauf-Erkrankungen besonders kritisch prüfen.</w:t>
      </w:r>
    </w:p>
    <w:p>
      <w:pPr>
        <w:pStyle w:val="ListBullet"/>
      </w:pPr>
      <w:r>
        <w:t>Cannabis nicht eigenmächtig statt verordneter Medikamente einsetzen.</w:t>
      </w:r>
    </w:p>
    <w:p>
      <w:r>
        <w:br w:type="page"/>
      </w:r>
    </w:p>
    <w:p>
      <w:pPr>
        <w:pStyle w:val="Heading1"/>
      </w:pPr>
      <w:r>
        <w:t>7. Terpene und Flavonoide</w:t>
      </w:r>
    </w:p>
    <w:p>
      <w:pPr>
        <w:pStyle w:val="Heading2"/>
      </w:pPr>
      <w:r>
        <w:t>Terpene</w:t>
      </w:r>
    </w:p>
    <w:p>
      <w:r>
        <w:t>Terpene geben Cannabis seinen Geruch. Sie können biologisch aktiv sein, doch die meisten entzündungsbezogenen Aussagen beruhen noch auf präklinischer Forschung.</w:t>
      </w:r>
    </w:p>
    <w:p>
      <w:r>
        <w:rPr>
          <w:rFonts w:ascii="Calibri" w:hAnsi="Calibri"/>
          <w:b/>
          <w:i w:val="0"/>
          <w:color w:val="218C74"/>
          <w:sz w:val="22"/>
        </w:rPr>
        <w:t xml:space="preserve">β-Caryophyllen: </w:t>
      </w:r>
      <w:r>
        <w:t>Besonders interessant, weil es CB2-Rezeptoren aktivieren kann. Klinische Wirksamkeit beim Menschen ist dennoch nicht ausreichend belegt.</w:t>
      </w:r>
    </w:p>
    <w:p>
      <w:r>
        <w:rPr>
          <w:rFonts w:ascii="Calibri" w:hAnsi="Calibri"/>
          <w:b/>
          <w:i w:val="0"/>
          <w:color w:val="218C74"/>
          <w:sz w:val="22"/>
        </w:rPr>
        <w:t xml:space="preserve">Limonen: </w:t>
      </w:r>
      <w:r>
        <w:t>Wird wegen möglicher Wirkungen auf oxidativen Stress und Entzündungssignale untersucht.</w:t>
      </w:r>
    </w:p>
    <w:p>
      <w:r>
        <w:rPr>
          <w:rFonts w:ascii="Calibri" w:hAnsi="Calibri"/>
          <w:b/>
          <w:i w:val="0"/>
          <w:color w:val="218C74"/>
          <w:sz w:val="22"/>
        </w:rPr>
        <w:t xml:space="preserve">Linalool: </w:t>
      </w:r>
      <w:r>
        <w:t>Kann beruhigende und schmerzmodulierende Eigenschaften besitzen. Beruhigung ist nicht gleich Entzündungshemmung.</w:t>
      </w:r>
    </w:p>
    <w:p>
      <w:r>
        <w:rPr>
          <w:rFonts w:ascii="Calibri" w:hAnsi="Calibri"/>
          <w:b/>
          <w:i w:val="0"/>
          <w:color w:val="218C74"/>
          <w:sz w:val="22"/>
        </w:rPr>
        <w:t xml:space="preserve">α-Pinen und Myrcen: </w:t>
      </w:r>
      <w:r>
        <w:t>Zeigen in Modellen interessante Effekte; verlässliche therapeutische Dosierungen beim Menschen fehlen.</w:t>
      </w:r>
    </w:p>
    <w:p>
      <w:pPr>
        <w:pStyle w:val="Heading2"/>
      </w:pPr>
      <w:r>
        <w:t>Flavonoide</w:t>
      </w:r>
    </w:p>
    <w:p>
      <w:r>
        <w:t>Flavonoide sind Pflanzenstoffe, die auch in Gemüse, Obst, Kräutern und Tee vorkommen. Cannabis enthält unter anderem Cannflavine sowie Apigenin, Luteolin, Quercetin und Kaempferol.</w:t>
      </w:r>
    </w:p>
    <w:p>
      <w:pPr>
        <w:pStyle w:val="ListBullet"/>
      </w:pPr>
      <w:r>
        <w:t>Cannflavine beeinflussen in Laborversuchen Prostaglandin- und Leukotrienwege.</w:t>
      </w:r>
    </w:p>
    <w:p>
      <w:pPr>
        <w:pStyle w:val="ListBullet"/>
      </w:pPr>
      <w:r>
        <w:t>Quercetin, Luteolin und Apigenin werden wegen antioxidativer und entzündungsmodulierender Eigenschaften erforscht.</w:t>
      </w:r>
    </w:p>
    <w:p>
      <w:pPr>
        <w:pStyle w:val="ListBullet"/>
      </w:pPr>
      <w:r>
        <w:t>Die häufige Behauptung, Cannflavine seien ‚30-mal stärker als Aspirin‘, ist kein klinisch bestätigter Wirksamkeitsvergleich.</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EAF2FA"/>
          </w:tcPr>
          <w:p>
            <w:pPr>
              <w:spacing w:after="60"/>
            </w:pPr>
            <w:r>
              <w:rPr>
                <w:rFonts w:ascii="Calibri" w:hAnsi="Calibri"/>
                <w:b/>
                <w:i w:val="0"/>
                <w:color w:val="20639B"/>
                <w:sz w:val="24"/>
              </w:rPr>
              <w:t>Der Entourage-Effekt</w:t>
              <w:br/>
            </w:r>
            <w:r>
              <w:rPr>
                <w:rFonts w:ascii="Calibri" w:hAnsi="Calibri"/>
                <w:b w:val="0"/>
                <w:i w:val="0"/>
                <w:color w:val="24323D"/>
                <w:sz w:val="21"/>
              </w:rPr>
              <w:t>Ein Zusammenwirken mehrerer Pflanzenstoffe ist biologisch plausibel. Für konkrete Sorten, Mischungen und Dosierungen ist der behauptete Entourage-Effekt jedoch nicht zuverlässig durch hochwertige klinische Studien bestätigt.</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EAF6F2"/>
          </w:tcPr>
          <w:p>
            <w:pPr>
              <w:spacing w:after="60"/>
            </w:pPr>
            <w:r>
              <w:rPr>
                <w:rFonts w:ascii="Calibri" w:hAnsi="Calibri"/>
                <w:b/>
                <w:i w:val="0"/>
                <w:color w:val="218C74"/>
                <w:sz w:val="24"/>
              </w:rPr>
              <w:t>Ernährungsvorteil</w:t>
              <w:br/>
            </w:r>
            <w:r>
              <w:rPr>
                <w:rFonts w:ascii="Calibri" w:hAnsi="Calibri"/>
                <w:b w:val="0"/>
                <w:i w:val="0"/>
                <w:color w:val="24323D"/>
                <w:sz w:val="21"/>
              </w:rPr>
              <w:t>Viele Flavonoide lassen sich sicher und regelmäßig über Beeren, Äpfel, Zwiebeln, Kohl, Kräuter und Tee aufnehmen. Dadurch erhält der Körper gleichzeitig Ballaststoffe, Vitamine und weitere Pflanzenstoffe.</w:t>
            </w:r>
          </w:p>
        </w:tc>
      </w:tr>
    </w:tbl>
    <w:p>
      <w:pPr>
        <w:spacing w:after="20"/>
      </w:pPr>
    </w:p>
    <w:p>
      <w:r>
        <w:br w:type="page"/>
      </w:r>
    </w:p>
    <w:p>
      <w:pPr>
        <w:pStyle w:val="Heading1"/>
      </w:pPr>
      <w:r>
        <w:t>8. Ihr persönlicher 7-Punkte-Plan</w:t>
      </w:r>
    </w:p>
    <w:p>
      <w:pPr>
        <w:pStyle w:val="ListNumber"/>
      </w:pPr>
      <w:r>
        <w:t>Eine medizinische Ursache der Entzündung abklären lassen.</w:t>
      </w:r>
    </w:p>
    <w:p>
      <w:pPr>
        <w:pStyle w:val="ListNumber"/>
      </w:pPr>
      <w:r>
        <w:t>Gemüse, Vollkorn, Hülsenfrüchte, Nüsse und Samen schrittweise erhöhen.</w:t>
      </w:r>
    </w:p>
    <w:p>
      <w:pPr>
        <w:pStyle w:val="ListNumber"/>
      </w:pPr>
      <w:r>
        <w:t>Fettqualität verbessern: Oliven- und Rapsöl sowie geeignete Omega-3-Quellen nutzen.</w:t>
      </w:r>
    </w:p>
    <w:p>
      <w:pPr>
        <w:pStyle w:val="ListNumber"/>
      </w:pPr>
      <w:r>
        <w:t>Hochverarbeitete Produkte, Wurst, Süßgetränke und Alkohol reduzieren.</w:t>
      </w:r>
    </w:p>
    <w:p>
      <w:pPr>
        <w:pStyle w:val="ListNumber"/>
      </w:pPr>
      <w:r>
        <w:t>Bewegung, Schlaf, Rauchstopp und Stressregulation mit einbeziehen.</w:t>
      </w:r>
    </w:p>
    <w:p>
      <w:pPr>
        <w:pStyle w:val="ListNumber"/>
      </w:pPr>
      <w:r>
        <w:t>Cannabinoide nur zielgerichtet und mit realistischer Erwartung einsetzen.</w:t>
      </w:r>
    </w:p>
    <w:p>
      <w:pPr>
        <w:pStyle w:val="ListNumber"/>
      </w:pPr>
      <w:r>
        <w:t>Wirkung und Nebenwirkungen dokumentieren und mit dem Behandlungsteam besprechen.</w:t>
      </w:r>
    </w:p>
    <w:p>
      <w:pPr>
        <w:pStyle w:val="Heading2"/>
      </w:pPr>
      <w:r>
        <w:t>Vor einer Cannabinoid-Anwendung klären</w:t>
      </w:r>
    </w:p>
    <w:p>
      <w:pPr>
        <w:pStyle w:val="ListBullet"/>
      </w:pPr>
      <w:r>
        <w:t>Was ist das genaue Behandlungsziel?</w:t>
      </w:r>
    </w:p>
    <w:p>
      <w:pPr>
        <w:pStyle w:val="ListBullet"/>
      </w:pPr>
      <w:r>
        <w:t>Soll Entzündung, Schmerz, Schlaf oder ein anderes Symptom beeinflusst werden?</w:t>
      </w:r>
    </w:p>
    <w:p>
      <w:pPr>
        <w:pStyle w:val="ListBullet"/>
      </w:pPr>
      <w:r>
        <w:t>Welche Medikamente und Nahrungsergänzungen werden bereits genommen?</w:t>
      </w:r>
    </w:p>
    <w:p>
      <w:pPr>
        <w:pStyle w:val="ListBullet"/>
      </w:pPr>
      <w:r>
        <w:t>Ist das Produkt standardisiert und laborgeprüft?</w:t>
      </w:r>
    </w:p>
    <w:p>
      <w:pPr>
        <w:pStyle w:val="ListBullet"/>
      </w:pPr>
      <w:r>
        <w:t>Woran wird erkannt, ob die Behandlung hilft?</w:t>
      </w:r>
    </w:p>
    <w:p>
      <w:pPr>
        <w:pStyle w:val="ListBullet"/>
      </w:pPr>
      <w:r>
        <w:t>Wann wird die Behandlung beendet, wenn sie nicht hilft?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BE3E5"/>
          </w:tcPr>
          <w:p>
            <w:pPr>
              <w:spacing w:after="60"/>
            </w:pPr>
            <w:r>
              <w:rPr>
                <w:rFonts w:ascii="Calibri" w:hAnsi="Calibri"/>
                <w:b/>
                <w:i w:val="0"/>
                <w:color w:val="B23A48"/>
                <w:sz w:val="24"/>
              </w:rPr>
              <w:t>Wechselwirkungen beachten</w:t>
              <w:br/>
            </w:r>
            <w:r>
              <w:rPr>
                <w:rFonts w:ascii="Calibri" w:hAnsi="Calibri"/>
                <w:b w:val="0"/>
                <w:i w:val="0"/>
                <w:color w:val="24323D"/>
                <w:sz w:val="21"/>
              </w:rPr>
              <w:t>Auch CBD ist nicht nebenwirkungsfrei. Es kann Leberenzyme beeinflussen und dadurch die Konzentration bestimmter Medikamente verändern – beispielsweise einiger Antiepileptika oder Gerinnungshemmer. Eine regelmäßige Anwendung gehört deshalb mit Arzt oder Apotheke abgestimmt.</w:t>
            </w:r>
          </w:p>
        </w:tc>
      </w:tr>
    </w:tbl>
    <w:p>
      <w:pPr>
        <w:spacing w:after="20"/>
      </w:pPr>
    </w:p>
    <w:p>
      <w:r>
        <w:br w:type="page"/>
      </w:r>
    </w:p>
    <w:p>
      <w:pPr>
        <w:pStyle w:val="Heading1"/>
      </w:pPr>
      <w:r>
        <w:t>Quellen und weiterführende Informationen</w:t>
      </w:r>
    </w:p>
    <w:p>
      <w:pPr>
        <w:spacing w:after="160"/>
      </w:pPr>
      <w:r>
        <w:rPr>
          <w:rFonts w:ascii="Calibri" w:hAnsi="Calibri"/>
          <w:b/>
          <w:i w:val="0"/>
          <w:color w:val="173F5F"/>
          <w:sz w:val="19"/>
        </w:rPr>
        <w:t xml:space="preserve">Henshaw et al. (2021): </w:t>
      </w:r>
      <w:r>
        <w:rPr>
          <w:rFonts w:ascii="Calibri" w:hAnsi="Calibri"/>
          <w:b w:val="0"/>
          <w:i w:val="0"/>
          <w:color w:val="24323D"/>
          <w:sz w:val="19"/>
        </w:rPr>
        <w:t>The Effects of Cannabinoids on Pro- and Anti-Inflammatory Cytokines: A Systematic Review of In Vivo Studies.</w:t>
        <w:br/>
      </w:r>
      <w:r>
        <w:rPr>
          <w:rFonts w:ascii="Calibri" w:hAnsi="Calibri"/>
          <w:b w:val="0"/>
          <w:i w:val="0"/>
          <w:color w:val="20639B"/>
          <w:sz w:val="17"/>
          <w:u w:val="single"/>
        </w:rPr>
        <w:t>https://pmc.ncbi.nlm.nih.gov/articles/PMC8266561/</w:t>
      </w:r>
    </w:p>
    <w:p>
      <w:pPr>
        <w:spacing w:after="160"/>
      </w:pPr>
      <w:r>
        <w:rPr>
          <w:rFonts w:ascii="Calibri" w:hAnsi="Calibri"/>
          <w:b/>
          <w:i w:val="0"/>
          <w:color w:val="173F5F"/>
          <w:sz w:val="19"/>
        </w:rPr>
        <w:t xml:space="preserve">Sepulveda et al. (2024): </w:t>
      </w:r>
      <w:r>
        <w:rPr>
          <w:rFonts w:ascii="Calibri" w:hAnsi="Calibri"/>
          <w:b w:val="0"/>
          <w:i w:val="0"/>
          <w:color w:val="24323D"/>
          <w:sz w:val="19"/>
        </w:rPr>
        <w:t>The Potential of Cannabichromene (CBC) as a Therapeutic Agent.</w:t>
        <w:br/>
      </w:r>
      <w:r>
        <w:rPr>
          <w:rFonts w:ascii="Calibri" w:hAnsi="Calibri"/>
          <w:b w:val="0"/>
          <w:i w:val="0"/>
          <w:color w:val="20639B"/>
          <w:sz w:val="17"/>
          <w:u w:val="single"/>
        </w:rPr>
        <w:t>https://pmc.ncbi.nlm.nih.gov/articles/PMC11493452/</w:t>
      </w:r>
    </w:p>
    <w:p>
      <w:pPr>
        <w:spacing w:after="160"/>
      </w:pPr>
      <w:r>
        <w:rPr>
          <w:rFonts w:ascii="Calibri" w:hAnsi="Calibri"/>
          <w:b/>
          <w:i w:val="0"/>
          <w:color w:val="173F5F"/>
          <w:sz w:val="19"/>
        </w:rPr>
        <w:t xml:space="preserve">Li et al. (2024): </w:t>
      </w:r>
      <w:r>
        <w:rPr>
          <w:rFonts w:ascii="Calibri" w:hAnsi="Calibri"/>
          <w:b w:val="0"/>
          <w:i w:val="0"/>
          <w:color w:val="24323D"/>
          <w:sz w:val="19"/>
        </w:rPr>
        <w:t>Cannabigerol (CBG): A Comprehensive Review of Its Molecular Mechanisms and Therapeutic Potential.</w:t>
        <w:br/>
      </w:r>
      <w:r>
        <w:rPr>
          <w:rFonts w:ascii="Calibri" w:hAnsi="Calibri"/>
          <w:b w:val="0"/>
          <w:i w:val="0"/>
          <w:color w:val="20639B"/>
          <w:sz w:val="17"/>
          <w:u w:val="single"/>
        </w:rPr>
        <w:t>https://www.mdpi.com/1420-3049/29/22/5471</w:t>
      </w:r>
    </w:p>
    <w:p>
      <w:pPr>
        <w:spacing w:after="160"/>
      </w:pPr>
      <w:r>
        <w:rPr>
          <w:rFonts w:ascii="Calibri" w:hAnsi="Calibri"/>
          <w:b/>
          <w:i w:val="0"/>
          <w:color w:val="173F5F"/>
          <w:sz w:val="19"/>
        </w:rPr>
        <w:t xml:space="preserve">Ciaffi et al. (2025): </w:t>
      </w:r>
      <w:r>
        <w:rPr>
          <w:rFonts w:ascii="Calibri" w:hAnsi="Calibri"/>
          <w:b w:val="0"/>
          <w:i w:val="0"/>
          <w:color w:val="24323D"/>
          <w:sz w:val="19"/>
        </w:rPr>
        <w:t>Ultra-Processed Food Consumption and Systemic Inflammatory Biomarkers: Scoping Review.</w:t>
        <w:br/>
      </w:r>
      <w:r>
        <w:rPr>
          <w:rFonts w:ascii="Calibri" w:hAnsi="Calibri"/>
          <w:b w:val="0"/>
          <w:i w:val="0"/>
          <w:color w:val="20639B"/>
          <w:sz w:val="17"/>
          <w:u w:val="single"/>
        </w:rPr>
        <w:t>https://pubmed.ncbi.nlm.nih.gov/41010537/</w:t>
      </w:r>
    </w:p>
    <w:p>
      <w:pPr>
        <w:spacing w:after="160"/>
      </w:pPr>
      <w:r>
        <w:rPr>
          <w:rFonts w:ascii="Calibri" w:hAnsi="Calibri"/>
          <w:b/>
          <w:i w:val="0"/>
          <w:color w:val="173F5F"/>
          <w:sz w:val="19"/>
        </w:rPr>
        <w:t xml:space="preserve">Spiller et al. (2025): </w:t>
      </w:r>
      <w:r>
        <w:rPr>
          <w:rFonts w:ascii="Calibri" w:hAnsi="Calibri"/>
          <w:b w:val="0"/>
          <w:i w:val="0"/>
          <w:color w:val="24323D"/>
          <w:sz w:val="19"/>
        </w:rPr>
        <w:t>Ultra-Processed Foods, Gut Microbiota, and Inflammatory Pathways.</w:t>
        <w:br/>
      </w:r>
      <w:r>
        <w:rPr>
          <w:rFonts w:ascii="Calibri" w:hAnsi="Calibri"/>
          <w:b w:val="0"/>
          <w:i w:val="0"/>
          <w:color w:val="20639B"/>
          <w:sz w:val="17"/>
          <w:u w:val="single"/>
        </w:rPr>
        <w:t>https://pubmed.ncbi.nlm.nih.gov/40871705/</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vAlign w:val="center"/>
            <w:tcMar>
              <w:top w:w="100" w:type="dxa"/>
              <w:start w:w="130" w:type="dxa"/>
              <w:bottom w:w="100" w:type="dxa"/>
              <w:end w:w="130" w:type="dxa"/>
            </w:tcMar>
            <w:shd w:fill="FFF8DF"/>
          </w:tcPr>
          <w:p>
            <w:pPr>
              <w:spacing w:after="60"/>
            </w:pPr>
            <w:r>
              <w:rPr>
                <w:rFonts w:ascii="Calibri" w:hAnsi="Calibri"/>
                <w:b/>
                <w:i w:val="0"/>
                <w:color w:val="8B6508"/>
                <w:sz w:val="24"/>
              </w:rPr>
              <w:t>Hinweis zur Verwendung</w:t>
              <w:br/>
            </w:r>
            <w:r>
              <w:rPr>
                <w:rFonts w:ascii="Calibri" w:hAnsi="Calibri"/>
                <w:b w:val="0"/>
                <w:i w:val="0"/>
                <w:color w:val="24323D"/>
                <w:sz w:val="21"/>
              </w:rPr>
              <w:t>Diese Broschüre dient der verständlichen Gesundheitsinformation. Sie ersetzt keine Diagnose, keine individuelle Ernährungsberatung und keine ärztlich verordnete Behandlung. Bei akuten Beschwerden, deutlicher Verschlechterung oder schweren Nebenwirkungen ist medizinische Hilfe erforderlich.</w:t>
            </w:r>
          </w:p>
        </w:tc>
      </w:tr>
    </w:tbl>
    <w:p>
      <w:pPr>
        <w:spacing w:after="20"/>
      </w:pPr>
    </w:p>
    <w:p>
      <w:pPr>
        <w:spacing w:before="560"/>
        <w:jc w:val="center"/>
      </w:pPr>
      <w:r>
        <w:rPr>
          <w:rFonts w:ascii="Calibri" w:hAnsi="Calibri"/>
          <w:b/>
          <w:i w:val="0"/>
          <w:color w:val="218C74"/>
          <w:sz w:val="22"/>
        </w:rPr>
        <w:t>Eine gute Grundlage wirkt jeden Tag: abwechslungsreich essen, realistisch planen und Veränderungen gemeinsam mit dem Behandlungsteam prüfen.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657580"/>
        <w:sz w:val="16"/>
      </w:rPr>
      <w:t>Orientierung für Patientinnen und Patienten • Stand: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20639B"/>
        <w:sz w:val="17"/>
      </w:rPr>
      <w:t>PATIENTENINFORMATION  |  ERNÄHRUNG &amp; CANNABIS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4323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0639B"/>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0639B"/>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73F5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73F5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20639B"/>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Entzündungshemmend essen – Patientenbroschüre</dc:title>
  <dc:subject>Antientzündliche Ernährung und Einordnung von Cannabinoiden</dc:subject>
  <dc:creator>Patienteninformation</dc:creator>
  <cp:keywords/>
  <dc:description>generated by python-docx</dc:description>
  <cp:lastModifiedBy/>
  <cp:revision>1</cp:revision>
  <dcterms:created xsi:type="dcterms:W3CDTF">2013-12-23T23:15:00Z</dcterms:created>
  <dcterms:modified xsi:type="dcterms:W3CDTF">2013-12-23T23:15:00Z</dcterms:modified>
  <cp:category/>
</cp:coreProperties>
</file>