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300"/>
        <w:jc w:val="center"/>
      </w:pPr>
      <w:r>
        <w:rPr>
          <w:rFonts w:ascii="Calibri" w:hAnsi="Calibri"/>
          <w:b/>
          <w:i w:val="0"/>
          <w:color w:val="218C74"/>
          <w:sz w:val="22"/>
        </w:rPr>
        <w:t>PATIENTENBROSCHÜRE</w:t>
      </w:r>
    </w:p>
    <w:p>
      <w:pPr>
        <w:pStyle w:val="Title"/>
        <w:jc w:val="center"/>
      </w:pPr>
      <w:r>
        <w:t>Pflanzenstoffe &amp; erweitertes Endocannabinoidsystem</w:t>
      </w:r>
    </w:p>
    <w:p>
      <w:pPr>
        <w:pStyle w:val="Subtitle"/>
        <w:jc w:val="center"/>
      </w:pPr>
      <w:r>
        <w:t>Obst, Gemüse, Salat, Kräuter und Gewürze sinnvoll auswählen</w:t>
      </w:r>
    </w:p>
    <w:p>
      <w:pPr>
        <w:spacing w:before="480"/>
        <w:jc w:val="center"/>
      </w:pPr>
      <w:r>
        <w:rPr>
          <w:rFonts w:ascii="Calibri" w:hAnsi="Calibri"/>
          <w:b/>
          <w:i w:val="0"/>
          <w:color w:val="2E74B5"/>
          <w:sz w:val="24"/>
        </w:rPr>
        <w:t>LEBENSMITTEL  •  REZEPTOREN  •  TRP-KANÄLE</w:t>
      </w:r>
    </w:p>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FFF8DF"/>
          </w:tcPr>
          <w:p>
            <w:r>
              <w:rPr>
                <w:rFonts w:ascii="Calibri" w:hAnsi="Calibri"/>
                <w:b/>
                <w:i w:val="0"/>
                <w:color w:val="8B6508"/>
                <w:sz w:val="22"/>
              </w:rPr>
              <w:t>Das Wichtigste vorweg</w:t>
              <w:br/>
            </w:r>
            <w:r>
              <w:rPr>
                <w:rFonts w:ascii="Calibri" w:hAnsi="Calibri"/>
                <w:b w:val="0"/>
                <w:i w:val="0"/>
                <w:color w:val="24323D"/>
                <w:sz w:val="20"/>
              </w:rPr>
              <w:t>Nur wenige Pflanzenstoffe aus Lebensmitteln binden direkt an klassische Cannabinoidrezeptoren. Viele beeinflussen eher TRP-Kanäle, PPAR-Rezeptoren oder den Abbau körpereigener Endocannabinoide. Die meisten Aussagen zu einzelnen Stoffen stammen aus Labor- und Tiermodellen – nicht aus gesicherten Therapiestudien am Menschen.</w:t>
            </w:r>
          </w:p>
        </w:tc>
      </w:tr>
    </w:tbl>
    <w:p>
      <w:pPr>
        <w:spacing w:before="1100"/>
        <w:jc w:val="center"/>
      </w:pPr>
      <w:r>
        <w:rPr>
          <w:rFonts w:ascii="Calibri" w:hAnsi="Calibri"/>
          <w:b w:val="0"/>
          <w:i/>
          <w:color w:val="657580"/>
          <w:sz w:val="20"/>
        </w:rPr>
        <w:t>Auswahlhilfe – keine Dosierungs- oder Therapieempfehlung</w:t>
      </w:r>
    </w:p>
    <w:p>
      <w:r>
        <w:br w:type="page"/>
      </w:r>
    </w:p>
    <w:p>
      <w:pPr>
        <w:pStyle w:val="Heading1"/>
      </w:pPr>
      <w:r>
        <w:t>1. Was bedeutet „erweitertes Endocannabinoidsystem“?</w:t>
      </w:r>
    </w:p>
    <w:p>
      <w:r>
        <w:t>Zum klassischen Endocannabinoidsystem gehören CB1- und CB2-Rezeptoren, körpereigene Botenstoffe und deren Auf- und Abbau. Der erweiterte Begriff umfasst zusätzlich verwandte Zielstrukturen, darunter TRP-Ionenkanäle und PPAR-Kernrezeptoren.</w:t>
      </w:r>
    </w:p>
    <w:tbl>
      <w:tblPr>
        <w:tblStyle w:val="TableGrid"/>
        <w:tblW w:type="auto" w:w="0"/>
        <w:jc w:val="left"/>
        <w:tblLayout w:type="fixed"/>
        <w:tblLook w:firstColumn="1" w:firstRow="1" w:lastColumn="0" w:lastRow="0" w:noHBand="0" w:noVBand="1" w:val="04A0"/>
      </w:tblPr>
      <w:tblGrid>
        <w:gridCol w:w="3120"/>
        <w:gridCol w:w="3120"/>
        <w:gridCol w:w="3120"/>
      </w:tblGrid>
      <w:tr>
        <w:trPr>
          <w:tblHeader/>
          <w:cantSplit/>
        </w:trPr>
        <w:tc>
          <w:tcPr>
            <w:tcW w:type="dxa" w:w="15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Einordnung</w:t>
            </w:r>
          </w:p>
        </w:tc>
        <w:tc>
          <w:tcPr>
            <w:tcW w:type="dxa" w:w="35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Was ist gemeint?</w:t>
            </w:r>
          </w:p>
        </w:tc>
        <w:tc>
          <w:tcPr>
            <w:tcW w:type="dxa" w:w="43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Wie sicher ist die Aussage?</w:t>
            </w:r>
          </w:p>
        </w:tc>
      </w:tr>
      <w:tr>
        <w:trPr>
          <w:cantSplit/>
        </w:trPr>
        <w:tc>
          <w:tcPr>
            <w:tcW w:type="dxa" w:w="1500"/>
            <w:vAlign w:val="center"/>
            <w:tcMar>
              <w:top w:w="70" w:type="dxa"/>
              <w:start w:w="90" w:type="dxa"/>
              <w:bottom w:w="70" w:type="dxa"/>
              <w:end w:w="90" w:type="dxa"/>
            </w:tcMar>
          </w:tcPr>
          <w:p>
            <w:r>
              <w:rPr>
                <w:rFonts w:ascii="Calibri" w:hAnsi="Calibri"/>
                <w:b/>
                <w:i w:val="0"/>
                <w:color w:val="218C74"/>
                <w:sz w:val="17"/>
              </w:rPr>
              <w:t>Direkt</w:t>
            </w:r>
          </w:p>
        </w:tc>
        <w:tc>
          <w:tcPr>
            <w:tcW w:type="dxa" w:w="3500"/>
            <w:vAlign w:val="center"/>
            <w:tcMar>
              <w:top w:w="70" w:type="dxa"/>
              <w:start w:w="90" w:type="dxa"/>
              <w:bottom w:w="70" w:type="dxa"/>
              <w:end w:w="90" w:type="dxa"/>
            </w:tcMar>
          </w:tcPr>
          <w:p>
            <w:r>
              <w:rPr>
                <w:rFonts w:ascii="Calibri" w:hAnsi="Calibri"/>
                <w:b w:val="0"/>
                <w:i w:val="0"/>
                <w:color w:val="24323D"/>
                <w:sz w:val="17"/>
              </w:rPr>
              <w:t>Der Stoff aktiviert oder hemmt eine Zielstruktur in Versuchen unmittelbar.</w:t>
            </w:r>
          </w:p>
        </w:tc>
        <w:tc>
          <w:tcPr>
            <w:tcW w:type="dxa" w:w="4360"/>
            <w:vAlign w:val="center"/>
            <w:tcMar>
              <w:top w:w="70" w:type="dxa"/>
              <w:start w:w="90" w:type="dxa"/>
              <w:bottom w:w="70" w:type="dxa"/>
              <w:end w:w="90" w:type="dxa"/>
            </w:tcMar>
          </w:tcPr>
          <w:p>
            <w:r>
              <w:rPr>
                <w:rFonts w:ascii="Calibri" w:hAnsi="Calibri"/>
                <w:b w:val="0"/>
                <w:i w:val="0"/>
                <w:color w:val="24323D"/>
                <w:sz w:val="17"/>
              </w:rPr>
              <w:t>Gute Mechanismus-Evidenz; klinischer Nutzen kann trotzdem ungeklärt sein.</w:t>
            </w:r>
          </w:p>
        </w:tc>
      </w:tr>
      <w:tr>
        <w:trPr>
          <w:cantSplit/>
        </w:trPr>
        <w:tc>
          <w:tcPr>
            <w:tcW w:type="dxa" w:w="1500"/>
            <w:shd w:fill="F8FAFB"/>
            <w:vAlign w:val="center"/>
            <w:tcMar>
              <w:top w:w="70" w:type="dxa"/>
              <w:start w:w="90" w:type="dxa"/>
              <w:bottom w:w="70" w:type="dxa"/>
              <w:end w:w="90" w:type="dxa"/>
            </w:tcMar>
          </w:tcPr>
          <w:p>
            <w:r>
              <w:rPr>
                <w:rFonts w:ascii="Calibri" w:hAnsi="Calibri"/>
                <w:b/>
                <w:i w:val="0"/>
                <w:color w:val="218C74"/>
                <w:sz w:val="17"/>
              </w:rPr>
              <w:t>Funktionell</w:t>
            </w:r>
          </w:p>
        </w:tc>
        <w:tc>
          <w:tcPr>
            <w:tcW w:type="dxa" w:w="3500"/>
            <w:shd w:fill="F8FAFB"/>
            <w:vAlign w:val="center"/>
            <w:tcMar>
              <w:top w:w="70" w:type="dxa"/>
              <w:start w:w="90" w:type="dxa"/>
              <w:bottom w:w="70" w:type="dxa"/>
              <w:end w:w="90" w:type="dxa"/>
            </w:tcMar>
          </w:tcPr>
          <w:p>
            <w:r>
              <w:rPr>
                <w:rFonts w:ascii="Calibri" w:hAnsi="Calibri"/>
                <w:b w:val="0"/>
                <w:i w:val="0"/>
                <w:color w:val="24323D"/>
                <w:sz w:val="17"/>
              </w:rPr>
              <w:t>Ein Kanal reagiert auf den Stoff, teils mit anschließender Desensibilisierung.</w:t>
            </w:r>
          </w:p>
        </w:tc>
        <w:tc>
          <w:tcPr>
            <w:tcW w:type="dxa" w:w="4360"/>
            <w:shd w:fill="F8FAFB"/>
            <w:vAlign w:val="center"/>
            <w:tcMar>
              <w:top w:w="70" w:type="dxa"/>
              <w:start w:w="90" w:type="dxa"/>
              <w:bottom w:w="70" w:type="dxa"/>
              <w:end w:w="90" w:type="dxa"/>
            </w:tcMar>
          </w:tcPr>
          <w:p>
            <w:r>
              <w:rPr>
                <w:rFonts w:ascii="Calibri" w:hAnsi="Calibri"/>
                <w:b w:val="0"/>
                <w:i w:val="0"/>
                <w:color w:val="24323D"/>
                <w:sz w:val="17"/>
              </w:rPr>
              <w:t>Meist Zell-, Gewebe- oder Tierdaten.</w:t>
            </w:r>
          </w:p>
        </w:tc>
      </w:tr>
      <w:tr>
        <w:trPr>
          <w:cantSplit/>
        </w:trPr>
        <w:tc>
          <w:tcPr>
            <w:tcW w:type="dxa" w:w="1500"/>
            <w:vAlign w:val="center"/>
            <w:tcMar>
              <w:top w:w="70" w:type="dxa"/>
              <w:start w:w="90" w:type="dxa"/>
              <w:bottom w:w="70" w:type="dxa"/>
              <w:end w:w="90" w:type="dxa"/>
            </w:tcMar>
          </w:tcPr>
          <w:p>
            <w:r>
              <w:rPr>
                <w:rFonts w:ascii="Calibri" w:hAnsi="Calibri"/>
                <w:b/>
                <w:i w:val="0"/>
                <w:color w:val="218C74"/>
                <w:sz w:val="17"/>
              </w:rPr>
              <w:t>Indirekt</w:t>
            </w:r>
          </w:p>
        </w:tc>
        <w:tc>
          <w:tcPr>
            <w:tcW w:type="dxa" w:w="3500"/>
            <w:vAlign w:val="center"/>
            <w:tcMar>
              <w:top w:w="70" w:type="dxa"/>
              <w:start w:w="90" w:type="dxa"/>
              <w:bottom w:w="70" w:type="dxa"/>
              <w:end w:w="90" w:type="dxa"/>
            </w:tcMar>
          </w:tcPr>
          <w:p>
            <w:r>
              <w:rPr>
                <w:rFonts w:ascii="Calibri" w:hAnsi="Calibri"/>
                <w:b w:val="0"/>
                <w:i w:val="0"/>
                <w:color w:val="24323D"/>
                <w:sz w:val="17"/>
              </w:rPr>
              <w:t>Ein Stoff beeinflusst Entzündungssignale, PPAR oder Enzyme wie FAAH.</w:t>
            </w:r>
          </w:p>
        </w:tc>
        <w:tc>
          <w:tcPr>
            <w:tcW w:type="dxa" w:w="4360"/>
            <w:vAlign w:val="center"/>
            <w:tcMar>
              <w:top w:w="70" w:type="dxa"/>
              <w:start w:w="90" w:type="dxa"/>
              <w:bottom w:w="70" w:type="dxa"/>
              <w:end w:w="90" w:type="dxa"/>
            </w:tcMar>
          </w:tcPr>
          <w:p>
            <w:r>
              <w:rPr>
                <w:rFonts w:ascii="Calibri" w:hAnsi="Calibri"/>
                <w:b w:val="0"/>
                <w:i w:val="0"/>
                <w:color w:val="24323D"/>
                <w:sz w:val="17"/>
              </w:rPr>
              <w:t>Keine Gleichsetzung mit einer direkten CB1-/CB2-Bindung.</w:t>
            </w:r>
          </w:p>
        </w:tc>
      </w:tr>
    </w:tbl>
    <w:p>
      <w:pPr>
        <w:pStyle w:val="Heading2"/>
      </w:pPr>
      <w:r>
        <w:t>So nutzen Sie die Tabellen</w:t>
      </w:r>
    </w:p>
    <w:p>
      <w:pPr>
        <w:pStyle w:val="ListBullet"/>
      </w:pPr>
      <w:r>
        <w:t>Wählen Sie abwechslungsreich statt möglichst hoch dosiert.</w:t>
      </w:r>
    </w:p>
    <w:p>
      <w:pPr>
        <w:pStyle w:val="ListBullet"/>
      </w:pPr>
      <w:r>
        <w:t>Nutzen Sie ganze Lebensmittel; Extrakte sind nicht automatisch wirksamer oder sicherer.</w:t>
      </w:r>
    </w:p>
    <w:p>
      <w:pPr>
        <w:pStyle w:val="ListBullet"/>
      </w:pPr>
      <w:r>
        <w:t>Achten Sie auf Verträglichkeit: Schärfe, Knoblauch, Zitrusfrüchte oder Grapefruit passen nicht für alle.</w:t>
      </w:r>
    </w:p>
    <w:p>
      <w:pPr>
        <w:pStyle w:val="ListBullet"/>
      </w:pPr>
      <w:r>
        <w:t>Behandeln Sie Beschwerden oder Erkrankungen nicht eigenständig mit einzelnen Pflanzenstoffen.</w:t>
      </w:r>
    </w:p>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EAF2FA"/>
          </w:tcPr>
          <w:p>
            <w:r>
              <w:rPr>
                <w:rFonts w:ascii="Calibri" w:hAnsi="Calibri"/>
                <w:b/>
                <w:i w:val="0"/>
                <w:color w:val="2E74B5"/>
                <w:sz w:val="22"/>
              </w:rPr>
              <w:t>Merksatz</w:t>
              <w:br/>
            </w:r>
            <w:r>
              <w:rPr>
                <w:rFonts w:ascii="Calibri" w:hAnsi="Calibri"/>
                <w:b w:val="0"/>
                <w:i w:val="0"/>
                <w:color w:val="24323D"/>
                <w:sz w:val="20"/>
              </w:rPr>
              <w:t>„Bindet im Labor“ bedeutet nicht „behandelt eine Entzündung beim Menschen“. Entscheidend sind erreichbare Konzentration, Aufnahme, Stoffwechsel, Erkrankung und Gesamternährung.</w:t>
            </w:r>
          </w:p>
        </w:tc>
      </w:tr>
    </w:tbl>
    <w:p>
      <w:r>
        <w:br w:type="page"/>
      </w:r>
    </w:p>
    <w:p>
      <w:pPr>
        <w:pStyle w:val="Heading1"/>
      </w:pPr>
      <w:r>
        <w:t>2. Direkte und funktionelle Treffer: CB2 &amp; TRPV1</w:t>
      </w:r>
    </w:p>
    <w:tbl>
      <w:tblPr>
        <w:tblStyle w:val="TableGrid"/>
        <w:tblW w:type="auto" w:w="0"/>
        <w:jc w:val="left"/>
        <w:tblLayout w:type="fixed"/>
        <w:tblLook w:firstColumn="1" w:firstRow="1" w:lastColumn="0" w:lastRow="0" w:noHBand="0" w:noVBand="1" w:val="04A0"/>
      </w:tblPr>
      <w:tblGrid>
        <w:gridCol w:w="2340"/>
        <w:gridCol w:w="2340"/>
        <w:gridCol w:w="2340"/>
        <w:gridCol w:w="2340"/>
      </w:tblGrid>
      <w:tr>
        <w:trPr>
          <w:tblHeader/>
          <w:cantSplit/>
        </w:trPr>
        <w:tc>
          <w:tcPr>
            <w:tcW w:type="dxa" w:w="18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Pflanzenstoff</w:t>
            </w:r>
          </w:p>
        </w:tc>
        <w:tc>
          <w:tcPr>
            <w:tcW w:type="dxa" w:w="21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Ziel</w:t>
            </w:r>
          </w:p>
        </w:tc>
        <w:tc>
          <w:tcPr>
            <w:tcW w:type="dxa" w:w="28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Lebensmittelbeispiele</w:t>
            </w:r>
          </w:p>
        </w:tc>
        <w:tc>
          <w:tcPr>
            <w:tcW w:type="dxa" w:w="26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Einfache Verwendung</w:t>
            </w:r>
          </w:p>
        </w:tc>
      </w:tr>
      <w:tr>
        <w:trPr>
          <w:cantSplit/>
        </w:trPr>
        <w:tc>
          <w:tcPr>
            <w:tcW w:type="dxa" w:w="1800"/>
            <w:vAlign w:val="center"/>
            <w:tcMar>
              <w:top w:w="70" w:type="dxa"/>
              <w:start w:w="90" w:type="dxa"/>
              <w:bottom w:w="70" w:type="dxa"/>
              <w:end w:w="90" w:type="dxa"/>
            </w:tcMar>
          </w:tcPr>
          <w:p>
            <w:r>
              <w:rPr>
                <w:rFonts w:ascii="Calibri" w:hAnsi="Calibri"/>
                <w:b/>
                <w:i w:val="0"/>
                <w:color w:val="218C74"/>
                <w:sz w:val="17"/>
              </w:rPr>
              <w:t>β-Caryophyllen</w:t>
            </w:r>
          </w:p>
        </w:tc>
        <w:tc>
          <w:tcPr>
            <w:tcW w:type="dxa" w:w="2100"/>
            <w:vAlign w:val="center"/>
            <w:tcMar>
              <w:top w:w="70" w:type="dxa"/>
              <w:start w:w="90" w:type="dxa"/>
              <w:bottom w:w="70" w:type="dxa"/>
              <w:end w:w="90" w:type="dxa"/>
            </w:tcMar>
          </w:tcPr>
          <w:p>
            <w:r>
              <w:rPr>
                <w:rFonts w:ascii="Calibri" w:hAnsi="Calibri"/>
                <w:b w:val="0"/>
                <w:i w:val="0"/>
                <w:color w:val="24323D"/>
                <w:sz w:val="17"/>
              </w:rPr>
              <w:t>CB2 – selektiver Agonist</w:t>
            </w:r>
          </w:p>
        </w:tc>
        <w:tc>
          <w:tcPr>
            <w:tcW w:type="dxa" w:w="2860"/>
            <w:vAlign w:val="center"/>
            <w:tcMar>
              <w:top w:w="70" w:type="dxa"/>
              <w:start w:w="90" w:type="dxa"/>
              <w:bottom w:w="70" w:type="dxa"/>
              <w:end w:w="90" w:type="dxa"/>
            </w:tcMar>
          </w:tcPr>
          <w:p>
            <w:r>
              <w:rPr>
                <w:rFonts w:ascii="Calibri" w:hAnsi="Calibri"/>
                <w:b w:val="0"/>
                <w:i w:val="0"/>
                <w:color w:val="24323D"/>
                <w:sz w:val="17"/>
              </w:rPr>
              <w:t>schwarzer Pfeffer, Oregano, Basilikum, Rosmarin, Thymian</w:t>
            </w:r>
          </w:p>
        </w:tc>
        <w:tc>
          <w:tcPr>
            <w:tcW w:type="dxa" w:w="2600"/>
            <w:vAlign w:val="center"/>
            <w:tcMar>
              <w:top w:w="70" w:type="dxa"/>
              <w:start w:w="90" w:type="dxa"/>
              <w:bottom w:w="70" w:type="dxa"/>
              <w:end w:w="90" w:type="dxa"/>
            </w:tcMar>
          </w:tcPr>
          <w:p>
            <w:r>
              <w:rPr>
                <w:rFonts w:ascii="Calibri" w:hAnsi="Calibri"/>
                <w:b w:val="0"/>
                <w:i w:val="0"/>
                <w:color w:val="24323D"/>
                <w:sz w:val="17"/>
              </w:rPr>
              <w:t>Pfeffer frisch mahlen; Kräuter regelmäßig wechseln</w:t>
            </w:r>
          </w:p>
        </w:tc>
      </w:tr>
      <w:tr>
        <w:trPr>
          <w:cantSplit/>
        </w:trPr>
        <w:tc>
          <w:tcPr>
            <w:tcW w:type="dxa" w:w="1800"/>
            <w:shd w:fill="F8FAFB"/>
            <w:vAlign w:val="center"/>
            <w:tcMar>
              <w:top w:w="70" w:type="dxa"/>
              <w:start w:w="90" w:type="dxa"/>
              <w:bottom w:w="70" w:type="dxa"/>
              <w:end w:w="90" w:type="dxa"/>
            </w:tcMar>
          </w:tcPr>
          <w:p>
            <w:r>
              <w:rPr>
                <w:rFonts w:ascii="Calibri" w:hAnsi="Calibri"/>
                <w:b/>
                <w:i w:val="0"/>
                <w:color w:val="218C74"/>
                <w:sz w:val="17"/>
              </w:rPr>
              <w:t>Capsaicin</w:t>
            </w:r>
          </w:p>
        </w:tc>
        <w:tc>
          <w:tcPr>
            <w:tcW w:type="dxa" w:w="2100"/>
            <w:shd w:fill="F8FAFB"/>
            <w:vAlign w:val="center"/>
            <w:tcMar>
              <w:top w:w="70" w:type="dxa"/>
              <w:start w:w="90" w:type="dxa"/>
              <w:bottom w:w="70" w:type="dxa"/>
              <w:end w:w="90" w:type="dxa"/>
            </w:tcMar>
          </w:tcPr>
          <w:p>
            <w:r>
              <w:rPr>
                <w:rFonts w:ascii="Calibri" w:hAnsi="Calibri"/>
                <w:b w:val="0"/>
                <w:i w:val="0"/>
                <w:color w:val="24323D"/>
                <w:sz w:val="17"/>
              </w:rPr>
              <w:t>TRPV1 – Aktivierung, später Desensibilisierung</w:t>
            </w:r>
          </w:p>
        </w:tc>
        <w:tc>
          <w:tcPr>
            <w:tcW w:type="dxa" w:w="2860"/>
            <w:shd w:fill="F8FAFB"/>
            <w:vAlign w:val="center"/>
            <w:tcMar>
              <w:top w:w="70" w:type="dxa"/>
              <w:start w:w="90" w:type="dxa"/>
              <w:bottom w:w="70" w:type="dxa"/>
              <w:end w:w="90" w:type="dxa"/>
            </w:tcMar>
          </w:tcPr>
          <w:p>
            <w:r>
              <w:rPr>
                <w:rFonts w:ascii="Calibri" w:hAnsi="Calibri"/>
                <w:b w:val="0"/>
                <w:i w:val="0"/>
                <w:color w:val="24323D"/>
                <w:sz w:val="17"/>
              </w:rPr>
              <w:t>Chili, Peperoni, Cayenne</w:t>
            </w:r>
          </w:p>
        </w:tc>
        <w:tc>
          <w:tcPr>
            <w:tcW w:type="dxa" w:w="2600"/>
            <w:shd w:fill="F8FAFB"/>
            <w:vAlign w:val="center"/>
            <w:tcMar>
              <w:top w:w="70" w:type="dxa"/>
              <w:start w:w="90" w:type="dxa"/>
              <w:bottom w:w="70" w:type="dxa"/>
              <w:end w:w="90" w:type="dxa"/>
            </w:tcMar>
          </w:tcPr>
          <w:p>
            <w:r>
              <w:rPr>
                <w:rFonts w:ascii="Calibri" w:hAnsi="Calibri"/>
                <w:b w:val="0"/>
                <w:i w:val="0"/>
                <w:color w:val="24323D"/>
                <w:sz w:val="17"/>
              </w:rPr>
              <w:t>kleine Menge in Salat, Suppe oder Dressing</w:t>
            </w:r>
          </w:p>
        </w:tc>
      </w:tr>
      <w:tr>
        <w:trPr>
          <w:cantSplit/>
        </w:trPr>
        <w:tc>
          <w:tcPr>
            <w:tcW w:type="dxa" w:w="1800"/>
            <w:vAlign w:val="center"/>
            <w:tcMar>
              <w:top w:w="70" w:type="dxa"/>
              <w:start w:w="90" w:type="dxa"/>
              <w:bottom w:w="70" w:type="dxa"/>
              <w:end w:w="90" w:type="dxa"/>
            </w:tcMar>
          </w:tcPr>
          <w:p>
            <w:r>
              <w:rPr>
                <w:rFonts w:ascii="Calibri" w:hAnsi="Calibri"/>
                <w:b/>
                <w:i w:val="0"/>
                <w:color w:val="218C74"/>
                <w:sz w:val="17"/>
              </w:rPr>
              <w:t>Piperin</w:t>
            </w:r>
          </w:p>
        </w:tc>
        <w:tc>
          <w:tcPr>
            <w:tcW w:type="dxa" w:w="2100"/>
            <w:vAlign w:val="center"/>
            <w:tcMar>
              <w:top w:w="70" w:type="dxa"/>
              <w:start w:w="90" w:type="dxa"/>
              <w:bottom w:w="70" w:type="dxa"/>
              <w:end w:w="90" w:type="dxa"/>
            </w:tcMar>
          </w:tcPr>
          <w:p>
            <w:r>
              <w:rPr>
                <w:rFonts w:ascii="Calibri" w:hAnsi="Calibri"/>
                <w:b w:val="0"/>
                <w:i w:val="0"/>
                <w:color w:val="24323D"/>
                <w:sz w:val="17"/>
              </w:rPr>
              <w:t>TRPV1 – Aktivierung</w:t>
            </w:r>
          </w:p>
        </w:tc>
        <w:tc>
          <w:tcPr>
            <w:tcW w:type="dxa" w:w="2860"/>
            <w:vAlign w:val="center"/>
            <w:tcMar>
              <w:top w:w="70" w:type="dxa"/>
              <w:start w:w="90" w:type="dxa"/>
              <w:bottom w:w="70" w:type="dxa"/>
              <w:end w:w="90" w:type="dxa"/>
            </w:tcMar>
          </w:tcPr>
          <w:p>
            <w:r>
              <w:rPr>
                <w:rFonts w:ascii="Calibri" w:hAnsi="Calibri"/>
                <w:b w:val="0"/>
                <w:i w:val="0"/>
                <w:color w:val="24323D"/>
                <w:sz w:val="17"/>
              </w:rPr>
              <w:t>schwarzer und weißer Pfeffer</w:t>
            </w:r>
          </w:p>
        </w:tc>
        <w:tc>
          <w:tcPr>
            <w:tcW w:type="dxa" w:w="2600"/>
            <w:vAlign w:val="center"/>
            <w:tcMar>
              <w:top w:w="70" w:type="dxa"/>
              <w:start w:w="90" w:type="dxa"/>
              <w:bottom w:w="70" w:type="dxa"/>
              <w:end w:w="90" w:type="dxa"/>
            </w:tcMar>
          </w:tcPr>
          <w:p>
            <w:r>
              <w:rPr>
                <w:rFonts w:ascii="Calibri" w:hAnsi="Calibri"/>
                <w:b w:val="0"/>
                <w:i w:val="0"/>
                <w:color w:val="24323D"/>
                <w:sz w:val="17"/>
              </w:rPr>
              <w:t>frisch gemahlen sparsam verwenden</w:t>
            </w:r>
          </w:p>
        </w:tc>
      </w:tr>
      <w:tr>
        <w:trPr>
          <w:cantSplit/>
        </w:trPr>
        <w:tc>
          <w:tcPr>
            <w:tcW w:type="dxa" w:w="1800"/>
            <w:shd w:fill="F8FAFB"/>
            <w:vAlign w:val="center"/>
            <w:tcMar>
              <w:top w:w="70" w:type="dxa"/>
              <w:start w:w="90" w:type="dxa"/>
              <w:bottom w:w="70" w:type="dxa"/>
              <w:end w:w="90" w:type="dxa"/>
            </w:tcMar>
          </w:tcPr>
          <w:p>
            <w:r>
              <w:rPr>
                <w:rFonts w:ascii="Calibri" w:hAnsi="Calibri"/>
                <w:b/>
                <w:i w:val="0"/>
                <w:color w:val="218C74"/>
                <w:sz w:val="17"/>
              </w:rPr>
              <w:t>6-Gingerol</w:t>
            </w:r>
          </w:p>
        </w:tc>
        <w:tc>
          <w:tcPr>
            <w:tcW w:type="dxa" w:w="2100"/>
            <w:shd w:fill="F8FAFB"/>
            <w:vAlign w:val="center"/>
            <w:tcMar>
              <w:top w:w="70" w:type="dxa"/>
              <w:start w:w="90" w:type="dxa"/>
              <w:bottom w:w="70" w:type="dxa"/>
              <w:end w:w="90" w:type="dxa"/>
            </w:tcMar>
          </w:tcPr>
          <w:p>
            <w:r>
              <w:rPr>
                <w:rFonts w:ascii="Calibri" w:hAnsi="Calibri"/>
                <w:b w:val="0"/>
                <w:i w:val="0"/>
                <w:color w:val="24323D"/>
                <w:sz w:val="17"/>
              </w:rPr>
              <w:t>TRPV1, teilweise TRPA1</w:t>
            </w:r>
          </w:p>
        </w:tc>
        <w:tc>
          <w:tcPr>
            <w:tcW w:type="dxa" w:w="2860"/>
            <w:shd w:fill="F8FAFB"/>
            <w:vAlign w:val="center"/>
            <w:tcMar>
              <w:top w:w="70" w:type="dxa"/>
              <w:start w:w="90" w:type="dxa"/>
              <w:bottom w:w="70" w:type="dxa"/>
              <w:end w:w="90" w:type="dxa"/>
            </w:tcMar>
          </w:tcPr>
          <w:p>
            <w:r>
              <w:rPr>
                <w:rFonts w:ascii="Calibri" w:hAnsi="Calibri"/>
                <w:b w:val="0"/>
                <w:i w:val="0"/>
                <w:color w:val="24323D"/>
                <w:sz w:val="17"/>
              </w:rPr>
              <w:t>frischer Ingwer</w:t>
            </w:r>
          </w:p>
        </w:tc>
        <w:tc>
          <w:tcPr>
            <w:tcW w:type="dxa" w:w="2600"/>
            <w:shd w:fill="F8FAFB"/>
            <w:vAlign w:val="center"/>
            <w:tcMar>
              <w:top w:w="70" w:type="dxa"/>
              <w:start w:w="90" w:type="dxa"/>
              <w:bottom w:w="70" w:type="dxa"/>
              <w:end w:w="90" w:type="dxa"/>
            </w:tcMar>
          </w:tcPr>
          <w:p>
            <w:r>
              <w:rPr>
                <w:rFonts w:ascii="Calibri" w:hAnsi="Calibri"/>
                <w:b w:val="0"/>
                <w:i w:val="0"/>
                <w:color w:val="24323D"/>
                <w:sz w:val="17"/>
              </w:rPr>
              <w:t>reiben, als Tee oder im Dressing</w:t>
            </w:r>
          </w:p>
        </w:tc>
      </w:tr>
      <w:tr>
        <w:trPr>
          <w:cantSplit/>
        </w:trPr>
        <w:tc>
          <w:tcPr>
            <w:tcW w:type="dxa" w:w="1800"/>
            <w:vAlign w:val="center"/>
            <w:tcMar>
              <w:top w:w="70" w:type="dxa"/>
              <w:start w:w="90" w:type="dxa"/>
              <w:bottom w:w="70" w:type="dxa"/>
              <w:end w:w="90" w:type="dxa"/>
            </w:tcMar>
          </w:tcPr>
          <w:p>
            <w:r>
              <w:rPr>
                <w:rFonts w:ascii="Calibri" w:hAnsi="Calibri"/>
                <w:b/>
                <w:i w:val="0"/>
                <w:color w:val="218C74"/>
                <w:sz w:val="17"/>
              </w:rPr>
              <w:t>6-Shogaol</w:t>
            </w:r>
          </w:p>
        </w:tc>
        <w:tc>
          <w:tcPr>
            <w:tcW w:type="dxa" w:w="2100"/>
            <w:vAlign w:val="center"/>
            <w:tcMar>
              <w:top w:w="70" w:type="dxa"/>
              <w:start w:w="90" w:type="dxa"/>
              <w:bottom w:w="70" w:type="dxa"/>
              <w:end w:w="90" w:type="dxa"/>
            </w:tcMar>
          </w:tcPr>
          <w:p>
            <w:r>
              <w:rPr>
                <w:rFonts w:ascii="Calibri" w:hAnsi="Calibri"/>
                <w:b w:val="0"/>
                <w:i w:val="0"/>
                <w:color w:val="24323D"/>
                <w:sz w:val="17"/>
              </w:rPr>
              <w:t>TRPV1 und TRPA1</w:t>
            </w:r>
          </w:p>
        </w:tc>
        <w:tc>
          <w:tcPr>
            <w:tcW w:type="dxa" w:w="2860"/>
            <w:vAlign w:val="center"/>
            <w:tcMar>
              <w:top w:w="70" w:type="dxa"/>
              <w:start w:w="90" w:type="dxa"/>
              <w:bottom w:w="70" w:type="dxa"/>
              <w:end w:w="90" w:type="dxa"/>
            </w:tcMar>
          </w:tcPr>
          <w:p>
            <w:r>
              <w:rPr>
                <w:rFonts w:ascii="Calibri" w:hAnsi="Calibri"/>
                <w:b w:val="0"/>
                <w:i w:val="0"/>
                <w:color w:val="24323D"/>
                <w:sz w:val="17"/>
              </w:rPr>
              <w:t>getrockneter oder erhitzter Ingwer</w:t>
            </w:r>
          </w:p>
        </w:tc>
        <w:tc>
          <w:tcPr>
            <w:tcW w:type="dxa" w:w="2600"/>
            <w:vAlign w:val="center"/>
            <w:tcMar>
              <w:top w:w="70" w:type="dxa"/>
              <w:start w:w="90" w:type="dxa"/>
              <w:bottom w:w="70" w:type="dxa"/>
              <w:end w:w="90" w:type="dxa"/>
            </w:tcMar>
          </w:tcPr>
          <w:p>
            <w:r>
              <w:rPr>
                <w:rFonts w:ascii="Calibri" w:hAnsi="Calibri"/>
                <w:b w:val="0"/>
                <w:i w:val="0"/>
                <w:color w:val="24323D"/>
                <w:sz w:val="17"/>
              </w:rPr>
              <w:t>in warmen Gerichten oder Gewürzmischungen</w:t>
            </w:r>
          </w:p>
        </w:tc>
      </w:tr>
    </w:tbl>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EAF6F2"/>
          </w:tcPr>
          <w:p>
            <w:r>
              <w:rPr>
                <w:rFonts w:ascii="Calibri" w:hAnsi="Calibri"/>
                <w:b/>
                <w:i w:val="0"/>
                <w:color w:val="218C74"/>
                <w:sz w:val="22"/>
              </w:rPr>
              <w:t>Gute Auswahl</w:t>
              <w:br/>
            </w:r>
            <w:r>
              <w:rPr>
                <w:rFonts w:ascii="Calibri" w:hAnsi="Calibri"/>
                <w:b w:val="0"/>
                <w:i w:val="0"/>
                <w:color w:val="24323D"/>
                <w:sz w:val="20"/>
              </w:rPr>
              <w:t>Für eine milde Kombination: Tomatensalat mit Basilikum, Oregano, etwas Olivenöl und frisch gemahlenem schwarzem Pfeffer. Chili nur nach Verträglichkeit.</w:t>
            </w:r>
          </w:p>
        </w:tc>
      </w:tr>
    </w:tbl>
    <w:p>
      <w:pPr>
        <w:pStyle w:val="Heading2"/>
      </w:pPr>
      <w:r>
        <w:t>Bei empfindlichem Magen</w:t>
      </w:r>
    </w:p>
    <w:p>
      <w:r>
        <w:t>Scharfe Stoffe können Brennen, Reflux oder Darmbeschwerden verstärken. Langsam beginnen oder ganz weglassen; eine stärkere Reizung bedeutet nicht automatisch eine stärkere gesundheitsfördernde Wirkung.</w:t>
      </w:r>
    </w:p>
    <w:p>
      <w:r>
        <w:br w:type="page"/>
      </w:r>
    </w:p>
    <w:p>
      <w:pPr>
        <w:pStyle w:val="Heading1"/>
      </w:pPr>
      <w:r>
        <w:t>3. Direkte und funktionelle Treffer: TRPA1</w:t>
      </w:r>
    </w:p>
    <w:tbl>
      <w:tblPr>
        <w:tblStyle w:val="TableGrid"/>
        <w:tblW w:type="auto" w:w="0"/>
        <w:jc w:val="left"/>
        <w:tblLayout w:type="fixed"/>
        <w:tblLook w:firstColumn="1" w:firstRow="1" w:lastColumn="0" w:lastRow="0" w:noHBand="0" w:noVBand="1" w:val="04A0"/>
      </w:tblPr>
      <w:tblGrid>
        <w:gridCol w:w="2340"/>
        <w:gridCol w:w="2340"/>
        <w:gridCol w:w="2340"/>
        <w:gridCol w:w="2340"/>
      </w:tblGrid>
      <w:tr>
        <w:trPr>
          <w:tblHeader/>
          <w:cantSplit/>
        </w:trPr>
        <w:tc>
          <w:tcPr>
            <w:tcW w:type="dxa" w:w="19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Pflanzenstoff</w:t>
            </w:r>
          </w:p>
        </w:tc>
        <w:tc>
          <w:tcPr>
            <w:tcW w:type="dxa" w:w="21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Ziel</w:t>
            </w:r>
          </w:p>
        </w:tc>
        <w:tc>
          <w:tcPr>
            <w:tcW w:type="dxa" w:w="30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Lebensmittelbeispiele</w:t>
            </w:r>
          </w:p>
        </w:tc>
        <w:tc>
          <w:tcPr>
            <w:tcW w:type="dxa" w:w="23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Auswahlhinweis</w:t>
            </w:r>
          </w:p>
        </w:tc>
      </w:tr>
      <w:tr>
        <w:trPr>
          <w:cantSplit/>
        </w:trPr>
        <w:tc>
          <w:tcPr>
            <w:tcW w:type="dxa" w:w="1900"/>
            <w:vAlign w:val="center"/>
            <w:tcMar>
              <w:top w:w="70" w:type="dxa"/>
              <w:start w:w="90" w:type="dxa"/>
              <w:bottom w:w="70" w:type="dxa"/>
              <w:end w:w="90" w:type="dxa"/>
            </w:tcMar>
          </w:tcPr>
          <w:p>
            <w:r>
              <w:rPr>
                <w:rFonts w:ascii="Calibri" w:hAnsi="Calibri"/>
                <w:b/>
                <w:i w:val="0"/>
                <w:color w:val="218C74"/>
                <w:sz w:val="17"/>
              </w:rPr>
              <w:t>Allicin / Schwefelstoffe</w:t>
            </w:r>
          </w:p>
        </w:tc>
        <w:tc>
          <w:tcPr>
            <w:tcW w:type="dxa" w:w="2100"/>
            <w:vAlign w:val="center"/>
            <w:tcMar>
              <w:top w:w="70" w:type="dxa"/>
              <w:start w:w="90" w:type="dxa"/>
              <w:bottom w:w="70" w:type="dxa"/>
              <w:end w:w="90" w:type="dxa"/>
            </w:tcMar>
          </w:tcPr>
          <w:p>
            <w:r>
              <w:rPr>
                <w:rFonts w:ascii="Calibri" w:hAnsi="Calibri"/>
                <w:b w:val="0"/>
                <w:i w:val="0"/>
                <w:color w:val="24323D"/>
                <w:sz w:val="17"/>
              </w:rPr>
              <w:t>TRPA1, teilweise TRPV1</w:t>
            </w:r>
          </w:p>
        </w:tc>
        <w:tc>
          <w:tcPr>
            <w:tcW w:type="dxa" w:w="3000"/>
            <w:vAlign w:val="center"/>
            <w:tcMar>
              <w:top w:w="70" w:type="dxa"/>
              <w:start w:w="90" w:type="dxa"/>
              <w:bottom w:w="70" w:type="dxa"/>
              <w:end w:w="90" w:type="dxa"/>
            </w:tcMar>
          </w:tcPr>
          <w:p>
            <w:r>
              <w:rPr>
                <w:rFonts w:ascii="Calibri" w:hAnsi="Calibri"/>
                <w:b w:val="0"/>
                <w:i w:val="0"/>
                <w:color w:val="24323D"/>
                <w:sz w:val="17"/>
              </w:rPr>
              <w:t>frischer Knoblauch</w:t>
            </w:r>
          </w:p>
        </w:tc>
        <w:tc>
          <w:tcPr>
            <w:tcW w:type="dxa" w:w="2360"/>
            <w:vAlign w:val="center"/>
            <w:tcMar>
              <w:top w:w="70" w:type="dxa"/>
              <w:start w:w="90" w:type="dxa"/>
              <w:bottom w:w="70" w:type="dxa"/>
              <w:end w:w="90" w:type="dxa"/>
            </w:tcMar>
          </w:tcPr>
          <w:p>
            <w:r>
              <w:rPr>
                <w:rFonts w:ascii="Calibri" w:hAnsi="Calibri"/>
                <w:b w:val="0"/>
                <w:i w:val="0"/>
                <w:color w:val="24323D"/>
                <w:sz w:val="17"/>
              </w:rPr>
              <w:t>zerdrücken und kurz ruhen lassen; nach Verträglichkeit</w:t>
            </w:r>
          </w:p>
        </w:tc>
      </w:tr>
      <w:tr>
        <w:trPr>
          <w:cantSplit/>
        </w:trPr>
        <w:tc>
          <w:tcPr>
            <w:tcW w:type="dxa" w:w="1900"/>
            <w:shd w:fill="F8FAFB"/>
            <w:vAlign w:val="center"/>
            <w:tcMar>
              <w:top w:w="70" w:type="dxa"/>
              <w:start w:w="90" w:type="dxa"/>
              <w:bottom w:w="70" w:type="dxa"/>
              <w:end w:w="90" w:type="dxa"/>
            </w:tcMar>
          </w:tcPr>
          <w:p>
            <w:r>
              <w:rPr>
                <w:rFonts w:ascii="Calibri" w:hAnsi="Calibri"/>
                <w:b/>
                <w:i w:val="0"/>
                <w:color w:val="218C74"/>
                <w:sz w:val="17"/>
              </w:rPr>
              <w:t>Allylisothiocyanat</w:t>
            </w:r>
          </w:p>
        </w:tc>
        <w:tc>
          <w:tcPr>
            <w:tcW w:type="dxa" w:w="2100"/>
            <w:shd w:fill="F8FAFB"/>
            <w:vAlign w:val="center"/>
            <w:tcMar>
              <w:top w:w="70" w:type="dxa"/>
              <w:start w:w="90" w:type="dxa"/>
              <w:bottom w:w="70" w:type="dxa"/>
              <w:end w:w="90" w:type="dxa"/>
            </w:tcMar>
          </w:tcPr>
          <w:p>
            <w:r>
              <w:rPr>
                <w:rFonts w:ascii="Calibri" w:hAnsi="Calibri"/>
                <w:b w:val="0"/>
                <w:i w:val="0"/>
                <w:color w:val="24323D"/>
                <w:sz w:val="17"/>
              </w:rPr>
              <w:t>TRPA1 – starke Aktivierung</w:t>
            </w:r>
          </w:p>
        </w:tc>
        <w:tc>
          <w:tcPr>
            <w:tcW w:type="dxa" w:w="3000"/>
            <w:shd w:fill="F8FAFB"/>
            <w:vAlign w:val="center"/>
            <w:tcMar>
              <w:top w:w="70" w:type="dxa"/>
              <w:start w:w="90" w:type="dxa"/>
              <w:bottom w:w="70" w:type="dxa"/>
              <w:end w:w="90" w:type="dxa"/>
            </w:tcMar>
          </w:tcPr>
          <w:p>
            <w:r>
              <w:rPr>
                <w:rFonts w:ascii="Calibri" w:hAnsi="Calibri"/>
                <w:b w:val="0"/>
                <w:i w:val="0"/>
                <w:color w:val="24323D"/>
                <w:sz w:val="17"/>
              </w:rPr>
              <w:t>Senf, Meerrettich, Wasabi, Radieschen</w:t>
            </w:r>
          </w:p>
        </w:tc>
        <w:tc>
          <w:tcPr>
            <w:tcW w:type="dxa" w:w="2360"/>
            <w:shd w:fill="F8FAFB"/>
            <w:vAlign w:val="center"/>
            <w:tcMar>
              <w:top w:w="70" w:type="dxa"/>
              <w:start w:w="90" w:type="dxa"/>
              <w:bottom w:w="70" w:type="dxa"/>
              <w:end w:w="90" w:type="dxa"/>
            </w:tcMar>
          </w:tcPr>
          <w:p>
            <w:r>
              <w:rPr>
                <w:rFonts w:ascii="Calibri" w:hAnsi="Calibri"/>
                <w:b w:val="0"/>
                <w:i w:val="0"/>
                <w:color w:val="24323D"/>
                <w:sz w:val="17"/>
              </w:rPr>
              <w:t>kleine Mengen im Dressing oder als Beilage</w:t>
            </w:r>
          </w:p>
        </w:tc>
      </w:tr>
      <w:tr>
        <w:trPr>
          <w:cantSplit/>
        </w:trPr>
        <w:tc>
          <w:tcPr>
            <w:tcW w:type="dxa" w:w="1900"/>
            <w:vAlign w:val="center"/>
            <w:tcMar>
              <w:top w:w="70" w:type="dxa"/>
              <w:start w:w="90" w:type="dxa"/>
              <w:bottom w:w="70" w:type="dxa"/>
              <w:end w:w="90" w:type="dxa"/>
            </w:tcMar>
          </w:tcPr>
          <w:p>
            <w:r>
              <w:rPr>
                <w:rFonts w:ascii="Calibri" w:hAnsi="Calibri"/>
                <w:b/>
                <w:i w:val="0"/>
                <w:color w:val="218C74"/>
                <w:sz w:val="17"/>
              </w:rPr>
              <w:t>Sulforaphan</w:t>
            </w:r>
          </w:p>
        </w:tc>
        <w:tc>
          <w:tcPr>
            <w:tcW w:type="dxa" w:w="2100"/>
            <w:vAlign w:val="center"/>
            <w:tcMar>
              <w:top w:w="70" w:type="dxa"/>
              <w:start w:w="90" w:type="dxa"/>
              <w:bottom w:w="70" w:type="dxa"/>
              <w:end w:w="90" w:type="dxa"/>
            </w:tcMar>
          </w:tcPr>
          <w:p>
            <w:r>
              <w:rPr>
                <w:rFonts w:ascii="Calibri" w:hAnsi="Calibri"/>
                <w:b w:val="0"/>
                <w:i w:val="0"/>
                <w:color w:val="24323D"/>
                <w:sz w:val="17"/>
              </w:rPr>
              <w:t>TRPA1; zusätzlich Zellschutzwege</w:t>
            </w:r>
          </w:p>
        </w:tc>
        <w:tc>
          <w:tcPr>
            <w:tcW w:type="dxa" w:w="3000"/>
            <w:vAlign w:val="center"/>
            <w:tcMar>
              <w:top w:w="70" w:type="dxa"/>
              <w:start w:w="90" w:type="dxa"/>
              <w:bottom w:w="70" w:type="dxa"/>
              <w:end w:w="90" w:type="dxa"/>
            </w:tcMar>
          </w:tcPr>
          <w:p>
            <w:r>
              <w:rPr>
                <w:rFonts w:ascii="Calibri" w:hAnsi="Calibri"/>
                <w:b w:val="0"/>
                <w:i w:val="0"/>
                <w:color w:val="24323D"/>
                <w:sz w:val="17"/>
              </w:rPr>
              <w:t>Brokkolisprossen, Brokkoli, Rosenkohl, Grünkohl, Kohl</w:t>
            </w:r>
          </w:p>
        </w:tc>
        <w:tc>
          <w:tcPr>
            <w:tcW w:type="dxa" w:w="2360"/>
            <w:vAlign w:val="center"/>
            <w:tcMar>
              <w:top w:w="70" w:type="dxa"/>
              <w:start w:w="90" w:type="dxa"/>
              <w:bottom w:w="70" w:type="dxa"/>
              <w:end w:w="90" w:type="dxa"/>
            </w:tcMar>
          </w:tcPr>
          <w:p>
            <w:r>
              <w:rPr>
                <w:rFonts w:ascii="Calibri" w:hAnsi="Calibri"/>
                <w:b w:val="0"/>
                <w:i w:val="0"/>
                <w:color w:val="24323D"/>
                <w:sz w:val="17"/>
              </w:rPr>
              <w:t>Sprossen frisch; Gemüse schonend garen</w:t>
            </w:r>
          </w:p>
        </w:tc>
      </w:tr>
      <w:tr>
        <w:trPr>
          <w:cantSplit/>
        </w:trPr>
        <w:tc>
          <w:tcPr>
            <w:tcW w:type="dxa" w:w="1900"/>
            <w:shd w:fill="F8FAFB"/>
            <w:vAlign w:val="center"/>
            <w:tcMar>
              <w:top w:w="70" w:type="dxa"/>
              <w:start w:w="90" w:type="dxa"/>
              <w:bottom w:w="70" w:type="dxa"/>
              <w:end w:w="90" w:type="dxa"/>
            </w:tcMar>
          </w:tcPr>
          <w:p>
            <w:r>
              <w:rPr>
                <w:rFonts w:ascii="Calibri" w:hAnsi="Calibri"/>
                <w:b/>
                <w:i w:val="0"/>
                <w:color w:val="218C74"/>
                <w:sz w:val="17"/>
              </w:rPr>
              <w:t>Eugenol</w:t>
            </w:r>
          </w:p>
        </w:tc>
        <w:tc>
          <w:tcPr>
            <w:tcW w:type="dxa" w:w="2100"/>
            <w:shd w:fill="F8FAFB"/>
            <w:vAlign w:val="center"/>
            <w:tcMar>
              <w:top w:w="70" w:type="dxa"/>
              <w:start w:w="90" w:type="dxa"/>
              <w:bottom w:w="70" w:type="dxa"/>
              <w:end w:w="90" w:type="dxa"/>
            </w:tcMar>
          </w:tcPr>
          <w:p>
            <w:r>
              <w:rPr>
                <w:rFonts w:ascii="Calibri" w:hAnsi="Calibri"/>
                <w:b w:val="0"/>
                <w:i w:val="0"/>
                <w:color w:val="24323D"/>
                <w:sz w:val="17"/>
              </w:rPr>
              <w:t>TRPA1, TRPV3, TRPV1</w:t>
            </w:r>
          </w:p>
        </w:tc>
        <w:tc>
          <w:tcPr>
            <w:tcW w:type="dxa" w:w="3000"/>
            <w:shd w:fill="F8FAFB"/>
            <w:vAlign w:val="center"/>
            <w:tcMar>
              <w:top w:w="70" w:type="dxa"/>
              <w:start w:w="90" w:type="dxa"/>
              <w:bottom w:w="70" w:type="dxa"/>
              <w:end w:w="90" w:type="dxa"/>
            </w:tcMar>
          </w:tcPr>
          <w:p>
            <w:r>
              <w:rPr>
                <w:rFonts w:ascii="Calibri" w:hAnsi="Calibri"/>
                <w:b w:val="0"/>
                <w:i w:val="0"/>
                <w:color w:val="24323D"/>
                <w:sz w:val="17"/>
              </w:rPr>
              <w:t>Basilikum, Gewürznelke, Zimt, Lorbeer</w:t>
            </w:r>
          </w:p>
        </w:tc>
        <w:tc>
          <w:tcPr>
            <w:tcW w:type="dxa" w:w="2360"/>
            <w:shd w:fill="F8FAFB"/>
            <w:vAlign w:val="center"/>
            <w:tcMar>
              <w:top w:w="70" w:type="dxa"/>
              <w:start w:w="90" w:type="dxa"/>
              <w:bottom w:w="70" w:type="dxa"/>
              <w:end w:w="90" w:type="dxa"/>
            </w:tcMar>
          </w:tcPr>
          <w:p>
            <w:r>
              <w:rPr>
                <w:rFonts w:ascii="Calibri" w:hAnsi="Calibri"/>
                <w:b w:val="0"/>
                <w:i w:val="0"/>
                <w:color w:val="24323D"/>
                <w:sz w:val="17"/>
              </w:rPr>
              <w:t>Basilikum als Lebensmittel; Nelke/Zimt als Gewürz</w:t>
            </w:r>
          </w:p>
        </w:tc>
      </w:tr>
      <w:tr>
        <w:trPr>
          <w:cantSplit/>
        </w:trPr>
        <w:tc>
          <w:tcPr>
            <w:tcW w:type="dxa" w:w="1900"/>
            <w:vAlign w:val="center"/>
            <w:tcMar>
              <w:top w:w="70" w:type="dxa"/>
              <w:start w:w="90" w:type="dxa"/>
              <w:bottom w:w="70" w:type="dxa"/>
              <w:end w:w="90" w:type="dxa"/>
            </w:tcMar>
          </w:tcPr>
          <w:p>
            <w:r>
              <w:rPr>
                <w:rFonts w:ascii="Calibri" w:hAnsi="Calibri"/>
                <w:b/>
                <w:i w:val="0"/>
                <w:color w:val="218C74"/>
                <w:sz w:val="17"/>
              </w:rPr>
              <w:t>Oleocanthal</w:t>
            </w:r>
          </w:p>
        </w:tc>
        <w:tc>
          <w:tcPr>
            <w:tcW w:type="dxa" w:w="2100"/>
            <w:vAlign w:val="center"/>
            <w:tcMar>
              <w:top w:w="70" w:type="dxa"/>
              <w:start w:w="90" w:type="dxa"/>
              <w:bottom w:w="70" w:type="dxa"/>
              <w:end w:w="90" w:type="dxa"/>
            </w:tcMar>
          </w:tcPr>
          <w:p>
            <w:r>
              <w:rPr>
                <w:rFonts w:ascii="Calibri" w:hAnsi="Calibri"/>
                <w:b w:val="0"/>
                <w:i w:val="0"/>
                <w:color w:val="24323D"/>
                <w:sz w:val="17"/>
              </w:rPr>
              <w:t>TRPA1, teilweise TRPV1</w:t>
            </w:r>
          </w:p>
        </w:tc>
        <w:tc>
          <w:tcPr>
            <w:tcW w:type="dxa" w:w="3000"/>
            <w:vAlign w:val="center"/>
            <w:tcMar>
              <w:top w:w="70" w:type="dxa"/>
              <w:start w:w="90" w:type="dxa"/>
              <w:bottom w:w="70" w:type="dxa"/>
              <w:end w:w="90" w:type="dxa"/>
            </w:tcMar>
          </w:tcPr>
          <w:p>
            <w:r>
              <w:rPr>
                <w:rFonts w:ascii="Calibri" w:hAnsi="Calibri"/>
                <w:b w:val="0"/>
                <w:i w:val="0"/>
                <w:color w:val="24323D"/>
                <w:sz w:val="17"/>
              </w:rPr>
              <w:t>natives Olivenöl extra</w:t>
            </w:r>
          </w:p>
        </w:tc>
        <w:tc>
          <w:tcPr>
            <w:tcW w:type="dxa" w:w="2360"/>
            <w:vAlign w:val="center"/>
            <w:tcMar>
              <w:top w:w="70" w:type="dxa"/>
              <w:start w:w="90" w:type="dxa"/>
              <w:bottom w:w="70" w:type="dxa"/>
              <w:end w:w="90" w:type="dxa"/>
            </w:tcMar>
          </w:tcPr>
          <w:p>
            <w:r>
              <w:rPr>
                <w:rFonts w:ascii="Calibri" w:hAnsi="Calibri"/>
                <w:b w:val="0"/>
                <w:i w:val="0"/>
                <w:color w:val="24323D"/>
                <w:sz w:val="17"/>
              </w:rPr>
              <w:t>kalt für Salat und zum Abschmecken</w:t>
            </w:r>
          </w:p>
        </w:tc>
      </w:tr>
    </w:tbl>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FFF8DF"/>
          </w:tcPr>
          <w:p>
            <w:r>
              <w:rPr>
                <w:rFonts w:ascii="Calibri" w:hAnsi="Calibri"/>
                <w:b/>
                <w:i w:val="0"/>
                <w:color w:val="8B6508"/>
                <w:sz w:val="22"/>
              </w:rPr>
              <w:t>Besonders alltagstauglich</w:t>
              <w:br/>
            </w:r>
            <w:r>
              <w:rPr>
                <w:rFonts w:ascii="Calibri" w:hAnsi="Calibri"/>
                <w:b w:val="0"/>
                <w:i w:val="0"/>
                <w:color w:val="24323D"/>
                <w:sz w:val="20"/>
              </w:rPr>
              <w:t>Brokkoli oder Kohl plus Radieschen und ein Dressing aus nativem Olivenöl extra, Senf und Zitronensaft verbindet mehrere Pflanzenstoffgruppen. Es ist ein Lebensmittelmuster, keine gezielte Rezeptordosis.</w:t>
            </w:r>
          </w:p>
        </w:tc>
      </w:tr>
    </w:tbl>
    <w:p>
      <w:r>
        <w:br w:type="page"/>
      </w:r>
    </w:p>
    <w:p>
      <w:pPr>
        <w:pStyle w:val="Heading1"/>
      </w:pPr>
      <w:r>
        <w:t>4. TRPV3, TRPM8 und TRPV4</w:t>
      </w:r>
    </w:p>
    <w:tbl>
      <w:tblPr>
        <w:tblStyle w:val="TableGrid"/>
        <w:tblW w:type="auto" w:w="0"/>
        <w:jc w:val="left"/>
        <w:tblLayout w:type="fixed"/>
        <w:tblLook w:firstColumn="1" w:firstRow="1" w:lastColumn="0" w:lastRow="0" w:noHBand="0" w:noVBand="1" w:val="04A0"/>
      </w:tblPr>
      <w:tblGrid>
        <w:gridCol w:w="2340"/>
        <w:gridCol w:w="2340"/>
        <w:gridCol w:w="2340"/>
        <w:gridCol w:w="2340"/>
      </w:tblGrid>
      <w:tr>
        <w:trPr>
          <w:tblHeader/>
          <w:cantSplit/>
        </w:trPr>
        <w:tc>
          <w:tcPr>
            <w:tcW w:type="dxa" w:w="17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Pflanzenstoff</w:t>
            </w:r>
          </w:p>
        </w:tc>
        <w:tc>
          <w:tcPr>
            <w:tcW w:type="dxa" w:w="22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Ziel</w:t>
            </w:r>
          </w:p>
        </w:tc>
        <w:tc>
          <w:tcPr>
            <w:tcW w:type="dxa" w:w="29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Lebensmittelbeispiele</w:t>
            </w:r>
          </w:p>
        </w:tc>
        <w:tc>
          <w:tcPr>
            <w:tcW w:type="dxa" w:w="25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Praktische Auswahl</w:t>
            </w:r>
          </w:p>
        </w:tc>
      </w:tr>
      <w:tr>
        <w:trPr>
          <w:cantSplit/>
        </w:trPr>
        <w:tc>
          <w:tcPr>
            <w:tcW w:type="dxa" w:w="1700"/>
            <w:vAlign w:val="center"/>
            <w:tcMar>
              <w:top w:w="70" w:type="dxa"/>
              <w:start w:w="90" w:type="dxa"/>
              <w:bottom w:w="70" w:type="dxa"/>
              <w:end w:w="90" w:type="dxa"/>
            </w:tcMar>
          </w:tcPr>
          <w:p>
            <w:r>
              <w:rPr>
                <w:rFonts w:ascii="Calibri" w:hAnsi="Calibri"/>
                <w:b/>
                <w:i w:val="0"/>
                <w:color w:val="218C74"/>
                <w:sz w:val="17"/>
              </w:rPr>
              <w:t>Carvacrol</w:t>
            </w:r>
          </w:p>
        </w:tc>
        <w:tc>
          <w:tcPr>
            <w:tcW w:type="dxa" w:w="2200"/>
            <w:vAlign w:val="center"/>
            <w:tcMar>
              <w:top w:w="70" w:type="dxa"/>
              <w:start w:w="90" w:type="dxa"/>
              <w:bottom w:w="70" w:type="dxa"/>
              <w:end w:w="90" w:type="dxa"/>
            </w:tcMar>
          </w:tcPr>
          <w:p>
            <w:r>
              <w:rPr>
                <w:rFonts w:ascii="Calibri" w:hAnsi="Calibri"/>
                <w:b w:val="0"/>
                <w:i w:val="0"/>
                <w:color w:val="24323D"/>
                <w:sz w:val="17"/>
              </w:rPr>
              <w:t>TRPV3</w:t>
            </w:r>
          </w:p>
        </w:tc>
        <w:tc>
          <w:tcPr>
            <w:tcW w:type="dxa" w:w="2900"/>
            <w:vAlign w:val="center"/>
            <w:tcMar>
              <w:top w:w="70" w:type="dxa"/>
              <w:start w:w="90" w:type="dxa"/>
              <w:bottom w:w="70" w:type="dxa"/>
              <w:end w:w="90" w:type="dxa"/>
            </w:tcMar>
          </w:tcPr>
          <w:p>
            <w:r>
              <w:rPr>
                <w:rFonts w:ascii="Calibri" w:hAnsi="Calibri"/>
                <w:b w:val="0"/>
                <w:i w:val="0"/>
                <w:color w:val="24323D"/>
                <w:sz w:val="17"/>
              </w:rPr>
              <w:t>Oregano, Bohnenkraut</w:t>
            </w:r>
          </w:p>
        </w:tc>
        <w:tc>
          <w:tcPr>
            <w:tcW w:type="dxa" w:w="2560"/>
            <w:vAlign w:val="center"/>
            <w:tcMar>
              <w:top w:w="70" w:type="dxa"/>
              <w:start w:w="90" w:type="dxa"/>
              <w:bottom w:w="70" w:type="dxa"/>
              <w:end w:w="90" w:type="dxa"/>
            </w:tcMar>
          </w:tcPr>
          <w:p>
            <w:r>
              <w:rPr>
                <w:rFonts w:ascii="Calibri" w:hAnsi="Calibri"/>
                <w:b w:val="0"/>
                <w:i w:val="0"/>
                <w:color w:val="24323D"/>
                <w:sz w:val="17"/>
              </w:rPr>
              <w:t>über Tomaten, Hülsenfrüchte oder Salat</w:t>
            </w:r>
          </w:p>
        </w:tc>
      </w:tr>
      <w:tr>
        <w:trPr>
          <w:cantSplit/>
        </w:trPr>
        <w:tc>
          <w:tcPr>
            <w:tcW w:type="dxa" w:w="1700"/>
            <w:shd w:fill="F8FAFB"/>
            <w:vAlign w:val="center"/>
            <w:tcMar>
              <w:top w:w="70" w:type="dxa"/>
              <w:start w:w="90" w:type="dxa"/>
              <w:bottom w:w="70" w:type="dxa"/>
              <w:end w:w="90" w:type="dxa"/>
            </w:tcMar>
          </w:tcPr>
          <w:p>
            <w:r>
              <w:rPr>
                <w:rFonts w:ascii="Calibri" w:hAnsi="Calibri"/>
                <w:b/>
                <w:i w:val="0"/>
                <w:color w:val="218C74"/>
                <w:sz w:val="17"/>
              </w:rPr>
              <w:t>Thymol</w:t>
            </w:r>
          </w:p>
        </w:tc>
        <w:tc>
          <w:tcPr>
            <w:tcW w:type="dxa" w:w="2200"/>
            <w:shd w:fill="F8FAFB"/>
            <w:vAlign w:val="center"/>
            <w:tcMar>
              <w:top w:w="70" w:type="dxa"/>
              <w:start w:w="90" w:type="dxa"/>
              <w:bottom w:w="70" w:type="dxa"/>
              <w:end w:w="90" w:type="dxa"/>
            </w:tcMar>
          </w:tcPr>
          <w:p>
            <w:r>
              <w:rPr>
                <w:rFonts w:ascii="Calibri" w:hAnsi="Calibri"/>
                <w:b w:val="0"/>
                <w:i w:val="0"/>
                <w:color w:val="24323D"/>
                <w:sz w:val="17"/>
              </w:rPr>
              <w:t>TRPV3</w:t>
            </w:r>
          </w:p>
        </w:tc>
        <w:tc>
          <w:tcPr>
            <w:tcW w:type="dxa" w:w="2900"/>
            <w:shd w:fill="F8FAFB"/>
            <w:vAlign w:val="center"/>
            <w:tcMar>
              <w:top w:w="70" w:type="dxa"/>
              <w:start w:w="90" w:type="dxa"/>
              <w:bottom w:w="70" w:type="dxa"/>
              <w:end w:w="90" w:type="dxa"/>
            </w:tcMar>
          </w:tcPr>
          <w:p>
            <w:r>
              <w:rPr>
                <w:rFonts w:ascii="Calibri" w:hAnsi="Calibri"/>
                <w:b w:val="0"/>
                <w:i w:val="0"/>
                <w:color w:val="24323D"/>
                <w:sz w:val="17"/>
              </w:rPr>
              <w:t>Thymian</w:t>
            </w:r>
          </w:p>
        </w:tc>
        <w:tc>
          <w:tcPr>
            <w:tcW w:type="dxa" w:w="2560"/>
            <w:shd w:fill="F8FAFB"/>
            <w:vAlign w:val="center"/>
            <w:tcMar>
              <w:top w:w="70" w:type="dxa"/>
              <w:start w:w="90" w:type="dxa"/>
              <w:bottom w:w="70" w:type="dxa"/>
              <w:end w:w="90" w:type="dxa"/>
            </w:tcMar>
          </w:tcPr>
          <w:p>
            <w:r>
              <w:rPr>
                <w:rFonts w:ascii="Calibri" w:hAnsi="Calibri"/>
                <w:b w:val="0"/>
                <w:i w:val="0"/>
                <w:color w:val="24323D"/>
                <w:sz w:val="17"/>
              </w:rPr>
              <w:t>zu Ofengemüse, Pilzen oder Suppen</w:t>
            </w:r>
          </w:p>
        </w:tc>
      </w:tr>
      <w:tr>
        <w:trPr>
          <w:cantSplit/>
        </w:trPr>
        <w:tc>
          <w:tcPr>
            <w:tcW w:type="dxa" w:w="1700"/>
            <w:vAlign w:val="center"/>
            <w:tcMar>
              <w:top w:w="70" w:type="dxa"/>
              <w:start w:w="90" w:type="dxa"/>
              <w:bottom w:w="70" w:type="dxa"/>
              <w:end w:w="90" w:type="dxa"/>
            </w:tcMar>
          </w:tcPr>
          <w:p>
            <w:r>
              <w:rPr>
                <w:rFonts w:ascii="Calibri" w:hAnsi="Calibri"/>
                <w:b/>
                <w:i w:val="0"/>
                <w:color w:val="218C74"/>
                <w:sz w:val="17"/>
              </w:rPr>
              <w:t>Eugenol</w:t>
            </w:r>
          </w:p>
        </w:tc>
        <w:tc>
          <w:tcPr>
            <w:tcW w:type="dxa" w:w="2200"/>
            <w:vAlign w:val="center"/>
            <w:tcMar>
              <w:top w:w="70" w:type="dxa"/>
              <w:start w:w="90" w:type="dxa"/>
              <w:bottom w:w="70" w:type="dxa"/>
              <w:end w:w="90" w:type="dxa"/>
            </w:tcMar>
          </w:tcPr>
          <w:p>
            <w:r>
              <w:rPr>
                <w:rFonts w:ascii="Calibri" w:hAnsi="Calibri"/>
                <w:b w:val="0"/>
                <w:i w:val="0"/>
                <w:color w:val="24323D"/>
                <w:sz w:val="17"/>
              </w:rPr>
              <w:t>TRPV3; außerdem TRPA1/TRPV1</w:t>
            </w:r>
          </w:p>
        </w:tc>
        <w:tc>
          <w:tcPr>
            <w:tcW w:type="dxa" w:w="2900"/>
            <w:vAlign w:val="center"/>
            <w:tcMar>
              <w:top w:w="70" w:type="dxa"/>
              <w:start w:w="90" w:type="dxa"/>
              <w:bottom w:w="70" w:type="dxa"/>
              <w:end w:w="90" w:type="dxa"/>
            </w:tcMar>
          </w:tcPr>
          <w:p>
            <w:r>
              <w:rPr>
                <w:rFonts w:ascii="Calibri" w:hAnsi="Calibri"/>
                <w:b w:val="0"/>
                <w:i w:val="0"/>
                <w:color w:val="24323D"/>
                <w:sz w:val="17"/>
              </w:rPr>
              <w:t>Basilikum, Nelke, Zimt, Lorbeer</w:t>
            </w:r>
          </w:p>
        </w:tc>
        <w:tc>
          <w:tcPr>
            <w:tcW w:type="dxa" w:w="2560"/>
            <w:vAlign w:val="center"/>
            <w:tcMar>
              <w:top w:w="70" w:type="dxa"/>
              <w:start w:w="90" w:type="dxa"/>
              <w:bottom w:w="70" w:type="dxa"/>
              <w:end w:w="90" w:type="dxa"/>
            </w:tcMar>
          </w:tcPr>
          <w:p>
            <w:r>
              <w:rPr>
                <w:rFonts w:ascii="Calibri" w:hAnsi="Calibri"/>
                <w:b w:val="0"/>
                <w:i w:val="0"/>
                <w:color w:val="24323D"/>
                <w:sz w:val="17"/>
              </w:rPr>
              <w:t>Kräuter bevorzugen; Gewürze sparsam</w:t>
            </w:r>
          </w:p>
        </w:tc>
      </w:tr>
      <w:tr>
        <w:trPr>
          <w:cantSplit/>
        </w:trPr>
        <w:tc>
          <w:tcPr>
            <w:tcW w:type="dxa" w:w="1700"/>
            <w:shd w:fill="F8FAFB"/>
            <w:vAlign w:val="center"/>
            <w:tcMar>
              <w:top w:w="70" w:type="dxa"/>
              <w:start w:w="90" w:type="dxa"/>
              <w:bottom w:w="70" w:type="dxa"/>
              <w:end w:w="90" w:type="dxa"/>
            </w:tcMar>
          </w:tcPr>
          <w:p>
            <w:r>
              <w:rPr>
                <w:rFonts w:ascii="Calibri" w:hAnsi="Calibri"/>
                <w:b/>
                <w:i w:val="0"/>
                <w:color w:val="218C74"/>
                <w:sz w:val="17"/>
              </w:rPr>
              <w:t>Menthol</w:t>
            </w:r>
          </w:p>
        </w:tc>
        <w:tc>
          <w:tcPr>
            <w:tcW w:type="dxa" w:w="2200"/>
            <w:shd w:fill="F8FAFB"/>
            <w:vAlign w:val="center"/>
            <w:tcMar>
              <w:top w:w="70" w:type="dxa"/>
              <w:start w:w="90" w:type="dxa"/>
              <w:bottom w:w="70" w:type="dxa"/>
              <w:end w:w="90" w:type="dxa"/>
            </w:tcMar>
          </w:tcPr>
          <w:p>
            <w:r>
              <w:rPr>
                <w:rFonts w:ascii="Calibri" w:hAnsi="Calibri"/>
                <w:b w:val="0"/>
                <w:i w:val="0"/>
                <w:color w:val="24323D"/>
                <w:sz w:val="17"/>
              </w:rPr>
              <w:t>vor allem TRPM8; hoch dosiert auch TRPV3</w:t>
            </w:r>
          </w:p>
        </w:tc>
        <w:tc>
          <w:tcPr>
            <w:tcW w:type="dxa" w:w="2900"/>
            <w:shd w:fill="F8FAFB"/>
            <w:vAlign w:val="center"/>
            <w:tcMar>
              <w:top w:w="70" w:type="dxa"/>
              <w:start w:w="90" w:type="dxa"/>
              <w:bottom w:w="70" w:type="dxa"/>
              <w:end w:w="90" w:type="dxa"/>
            </w:tcMar>
          </w:tcPr>
          <w:p>
            <w:r>
              <w:rPr>
                <w:rFonts w:ascii="Calibri" w:hAnsi="Calibri"/>
                <w:b w:val="0"/>
                <w:i w:val="0"/>
                <w:color w:val="24323D"/>
                <w:sz w:val="17"/>
              </w:rPr>
              <w:t>Pfefferminze, Grüne Minze</w:t>
            </w:r>
          </w:p>
        </w:tc>
        <w:tc>
          <w:tcPr>
            <w:tcW w:type="dxa" w:w="2560"/>
            <w:shd w:fill="F8FAFB"/>
            <w:vAlign w:val="center"/>
            <w:tcMar>
              <w:top w:w="70" w:type="dxa"/>
              <w:start w:w="90" w:type="dxa"/>
              <w:bottom w:w="70" w:type="dxa"/>
              <w:end w:w="90" w:type="dxa"/>
            </w:tcMar>
          </w:tcPr>
          <w:p>
            <w:r>
              <w:rPr>
                <w:rFonts w:ascii="Calibri" w:hAnsi="Calibri"/>
                <w:b w:val="0"/>
                <w:i w:val="0"/>
                <w:color w:val="24323D"/>
                <w:sz w:val="17"/>
              </w:rPr>
              <w:t>frisch in Salat oder ungesüßtem Tee</w:t>
            </w:r>
          </w:p>
        </w:tc>
      </w:tr>
      <w:tr>
        <w:trPr>
          <w:cantSplit/>
        </w:trPr>
        <w:tc>
          <w:tcPr>
            <w:tcW w:type="dxa" w:w="1700"/>
            <w:vAlign w:val="center"/>
            <w:tcMar>
              <w:top w:w="70" w:type="dxa"/>
              <w:start w:w="90" w:type="dxa"/>
              <w:bottom w:w="70" w:type="dxa"/>
              <w:end w:w="90" w:type="dxa"/>
            </w:tcMar>
          </w:tcPr>
          <w:p>
            <w:r>
              <w:rPr>
                <w:rFonts w:ascii="Calibri" w:hAnsi="Calibri"/>
                <w:b/>
                <w:i w:val="0"/>
                <w:color w:val="218C74"/>
                <w:sz w:val="17"/>
              </w:rPr>
              <w:t>Apigenin</w:t>
            </w:r>
          </w:p>
        </w:tc>
        <w:tc>
          <w:tcPr>
            <w:tcW w:type="dxa" w:w="2200"/>
            <w:vAlign w:val="center"/>
            <w:tcMar>
              <w:top w:w="70" w:type="dxa"/>
              <w:start w:w="90" w:type="dxa"/>
              <w:bottom w:w="70" w:type="dxa"/>
              <w:end w:w="90" w:type="dxa"/>
            </w:tcMar>
          </w:tcPr>
          <w:p>
            <w:r>
              <w:rPr>
                <w:rFonts w:ascii="Calibri" w:hAnsi="Calibri"/>
                <w:b w:val="0"/>
                <w:i w:val="0"/>
                <w:color w:val="24323D"/>
                <w:sz w:val="17"/>
              </w:rPr>
              <w:t>TRPV4; weitere Ziele werden diskutiert</w:t>
            </w:r>
          </w:p>
        </w:tc>
        <w:tc>
          <w:tcPr>
            <w:tcW w:type="dxa" w:w="2900"/>
            <w:vAlign w:val="center"/>
            <w:tcMar>
              <w:top w:w="70" w:type="dxa"/>
              <w:start w:w="90" w:type="dxa"/>
              <w:bottom w:w="70" w:type="dxa"/>
              <w:end w:w="90" w:type="dxa"/>
            </w:tcMar>
          </w:tcPr>
          <w:p>
            <w:r>
              <w:rPr>
                <w:rFonts w:ascii="Calibri" w:hAnsi="Calibri"/>
                <w:b w:val="0"/>
                <w:i w:val="0"/>
                <w:color w:val="24323D"/>
                <w:sz w:val="17"/>
              </w:rPr>
              <w:t>Petersilie, Sellerie, Kamille</w:t>
            </w:r>
          </w:p>
        </w:tc>
        <w:tc>
          <w:tcPr>
            <w:tcW w:type="dxa" w:w="2560"/>
            <w:vAlign w:val="center"/>
            <w:tcMar>
              <w:top w:w="70" w:type="dxa"/>
              <w:start w:w="90" w:type="dxa"/>
              <w:bottom w:w="70" w:type="dxa"/>
              <w:end w:w="90" w:type="dxa"/>
            </w:tcMar>
          </w:tcPr>
          <w:p>
            <w:r>
              <w:rPr>
                <w:rFonts w:ascii="Calibri" w:hAnsi="Calibri"/>
                <w:b w:val="0"/>
                <w:i w:val="0"/>
                <w:color w:val="24323D"/>
                <w:sz w:val="17"/>
              </w:rPr>
              <w:t>Petersilie großzügig; Sellerie nach Verträglichkeit</w:t>
            </w:r>
          </w:p>
        </w:tc>
      </w:tr>
    </w:tbl>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EAF2FA"/>
          </w:tcPr>
          <w:p>
            <w:r>
              <w:rPr>
                <w:rFonts w:ascii="Calibri" w:hAnsi="Calibri"/>
                <w:b/>
                <w:i w:val="0"/>
                <w:color w:val="2E74B5"/>
                <w:sz w:val="22"/>
              </w:rPr>
              <w:t>Einordnung zu TRPV4</w:t>
              <w:br/>
            </w:r>
            <w:r>
              <w:rPr>
                <w:rFonts w:ascii="Calibri" w:hAnsi="Calibri"/>
                <w:b w:val="0"/>
                <w:i w:val="0"/>
                <w:color w:val="24323D"/>
                <w:sz w:val="20"/>
              </w:rPr>
              <w:t>Apigenin ist ein interessanter experimenteller Modulator von TRPV4. Daraus lässt sich keine therapeutische Dosierung für Petersilie, Sellerie oder Kamillentee ableiten.</w:t>
            </w:r>
          </w:p>
        </w:tc>
      </w:tr>
    </w:tbl>
    <w:p>
      <w:r>
        <w:br w:type="page"/>
      </w:r>
    </w:p>
    <w:p>
      <w:pPr>
        <w:pStyle w:val="Heading1"/>
      </w:pPr>
      <w:r>
        <w:t>5. Indirekte Modulatoren</w:t>
      </w:r>
    </w:p>
    <w:p>
      <w:r>
        <w:t>Die folgenden Stoffe werden mit PPAR-Rezeptoren, FAAH oder allgemeinen Entzündungssignalwegen in Verbindung gebracht. Sie gelten nicht automatisch als direkte Cannabinoidrezeptor-Liganden.</w:t>
      </w:r>
    </w:p>
    <w:tbl>
      <w:tblPr>
        <w:tblStyle w:val="TableGrid"/>
        <w:tblW w:type="auto" w:w="0"/>
        <w:jc w:val="left"/>
        <w:tblLayout w:type="fixed"/>
        <w:tblLook w:firstColumn="1" w:firstRow="1" w:lastColumn="0" w:lastRow="0" w:noHBand="0" w:noVBand="1" w:val="04A0"/>
      </w:tblPr>
      <w:tblGrid>
        <w:gridCol w:w="3120"/>
        <w:gridCol w:w="3120"/>
        <w:gridCol w:w="3120"/>
      </w:tblGrid>
      <w:tr>
        <w:trPr>
          <w:tblHeader/>
          <w:cantSplit/>
        </w:trPr>
        <w:tc>
          <w:tcPr>
            <w:tcW w:type="dxa" w:w="24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Stoffgruppe</w:t>
            </w:r>
          </w:p>
        </w:tc>
        <w:tc>
          <w:tcPr>
            <w:tcW w:type="dxa" w:w="35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Möglicher Bezug</w:t>
            </w:r>
          </w:p>
        </w:tc>
        <w:tc>
          <w:tcPr>
            <w:tcW w:type="dxa" w:w="34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Lebensmittelbeispiele</w:t>
            </w:r>
          </w:p>
        </w:tc>
      </w:tr>
      <w:tr>
        <w:trPr>
          <w:cantSplit/>
        </w:trPr>
        <w:tc>
          <w:tcPr>
            <w:tcW w:type="dxa" w:w="2400"/>
            <w:vAlign w:val="center"/>
            <w:tcMar>
              <w:top w:w="70" w:type="dxa"/>
              <w:start w:w="90" w:type="dxa"/>
              <w:bottom w:w="70" w:type="dxa"/>
              <w:end w:w="90" w:type="dxa"/>
            </w:tcMar>
          </w:tcPr>
          <w:p>
            <w:r>
              <w:rPr>
                <w:rFonts w:ascii="Calibri" w:hAnsi="Calibri"/>
                <w:b/>
                <w:i w:val="0"/>
                <w:color w:val="218C74"/>
                <w:sz w:val="17"/>
              </w:rPr>
              <w:t>Oleuropein / Hydroxytyrosol</w:t>
            </w:r>
          </w:p>
        </w:tc>
        <w:tc>
          <w:tcPr>
            <w:tcW w:type="dxa" w:w="3500"/>
            <w:vAlign w:val="center"/>
            <w:tcMar>
              <w:top w:w="70" w:type="dxa"/>
              <w:start w:w="90" w:type="dxa"/>
              <w:bottom w:w="70" w:type="dxa"/>
              <w:end w:w="90" w:type="dxa"/>
            </w:tcMar>
          </w:tcPr>
          <w:p>
            <w:r>
              <w:rPr>
                <w:rFonts w:ascii="Calibri" w:hAnsi="Calibri"/>
                <w:b w:val="0"/>
                <w:i w:val="0"/>
                <w:color w:val="24323D"/>
                <w:sz w:val="17"/>
              </w:rPr>
              <w:t>PPARα/γ, Redox- und Entzündungswege</w:t>
            </w:r>
          </w:p>
        </w:tc>
        <w:tc>
          <w:tcPr>
            <w:tcW w:type="dxa" w:w="3460"/>
            <w:vAlign w:val="center"/>
            <w:tcMar>
              <w:top w:w="70" w:type="dxa"/>
              <w:start w:w="90" w:type="dxa"/>
              <w:bottom w:w="70" w:type="dxa"/>
              <w:end w:w="90" w:type="dxa"/>
            </w:tcMar>
          </w:tcPr>
          <w:p>
            <w:r>
              <w:rPr>
                <w:rFonts w:ascii="Calibri" w:hAnsi="Calibri"/>
                <w:b w:val="0"/>
                <w:i w:val="0"/>
                <w:color w:val="24323D"/>
                <w:sz w:val="17"/>
              </w:rPr>
              <w:t>Oliven, natives Olivenöl extra</w:t>
            </w:r>
          </w:p>
        </w:tc>
      </w:tr>
      <w:tr>
        <w:trPr>
          <w:cantSplit/>
        </w:trPr>
        <w:tc>
          <w:tcPr>
            <w:tcW w:type="dxa" w:w="2400"/>
            <w:shd w:fill="F8FAFB"/>
            <w:vAlign w:val="center"/>
            <w:tcMar>
              <w:top w:w="70" w:type="dxa"/>
              <w:start w:w="90" w:type="dxa"/>
              <w:bottom w:w="70" w:type="dxa"/>
              <w:end w:w="90" w:type="dxa"/>
            </w:tcMar>
          </w:tcPr>
          <w:p>
            <w:r>
              <w:rPr>
                <w:rFonts w:ascii="Calibri" w:hAnsi="Calibri"/>
                <w:b/>
                <w:i w:val="0"/>
                <w:color w:val="218C74"/>
                <w:sz w:val="17"/>
              </w:rPr>
              <w:t>Resveratrol</w:t>
            </w:r>
          </w:p>
        </w:tc>
        <w:tc>
          <w:tcPr>
            <w:tcW w:type="dxa" w:w="3500"/>
            <w:shd w:fill="F8FAFB"/>
            <w:vAlign w:val="center"/>
            <w:tcMar>
              <w:top w:w="70" w:type="dxa"/>
              <w:start w:w="90" w:type="dxa"/>
              <w:bottom w:w="70" w:type="dxa"/>
              <w:end w:w="90" w:type="dxa"/>
            </w:tcMar>
          </w:tcPr>
          <w:p>
            <w:r>
              <w:rPr>
                <w:rFonts w:ascii="Calibri" w:hAnsi="Calibri"/>
                <w:b w:val="0"/>
                <w:i w:val="0"/>
                <w:color w:val="24323D"/>
                <w:sz w:val="17"/>
              </w:rPr>
              <w:t>PPARα/γ; Endocannabinoidstoffwechsel diskutiert</w:t>
            </w:r>
          </w:p>
        </w:tc>
        <w:tc>
          <w:tcPr>
            <w:tcW w:type="dxa" w:w="3460"/>
            <w:shd w:fill="F8FAFB"/>
            <w:vAlign w:val="center"/>
            <w:tcMar>
              <w:top w:w="70" w:type="dxa"/>
              <w:start w:w="90" w:type="dxa"/>
              <w:bottom w:w="70" w:type="dxa"/>
              <w:end w:w="90" w:type="dxa"/>
            </w:tcMar>
          </w:tcPr>
          <w:p>
            <w:r>
              <w:rPr>
                <w:rFonts w:ascii="Calibri" w:hAnsi="Calibri"/>
                <w:b w:val="0"/>
                <w:i w:val="0"/>
                <w:color w:val="24323D"/>
                <w:sz w:val="17"/>
              </w:rPr>
              <w:t>rote/blaue Trauben, Beeren, Erdnüsse</w:t>
            </w:r>
          </w:p>
        </w:tc>
      </w:tr>
      <w:tr>
        <w:trPr>
          <w:cantSplit/>
        </w:trPr>
        <w:tc>
          <w:tcPr>
            <w:tcW w:type="dxa" w:w="2400"/>
            <w:vAlign w:val="center"/>
            <w:tcMar>
              <w:top w:w="70" w:type="dxa"/>
              <w:start w:w="90" w:type="dxa"/>
              <w:bottom w:w="70" w:type="dxa"/>
              <w:end w:w="90" w:type="dxa"/>
            </w:tcMar>
          </w:tcPr>
          <w:p>
            <w:r>
              <w:rPr>
                <w:rFonts w:ascii="Calibri" w:hAnsi="Calibri"/>
                <w:b/>
                <w:i w:val="0"/>
                <w:color w:val="218C74"/>
                <w:sz w:val="17"/>
              </w:rPr>
              <w:t>Quercetin</w:t>
            </w:r>
          </w:p>
        </w:tc>
        <w:tc>
          <w:tcPr>
            <w:tcW w:type="dxa" w:w="3500"/>
            <w:vAlign w:val="center"/>
            <w:tcMar>
              <w:top w:w="70" w:type="dxa"/>
              <w:start w:w="90" w:type="dxa"/>
              <w:bottom w:w="70" w:type="dxa"/>
              <w:end w:w="90" w:type="dxa"/>
            </w:tcMar>
          </w:tcPr>
          <w:p>
            <w:r>
              <w:rPr>
                <w:rFonts w:ascii="Calibri" w:hAnsi="Calibri"/>
                <w:b w:val="0"/>
                <w:i w:val="0"/>
                <w:color w:val="24323D"/>
                <w:sz w:val="17"/>
              </w:rPr>
              <w:t>PPARγ; mögliche schwache FAAH-Hemmung</w:t>
            </w:r>
          </w:p>
        </w:tc>
        <w:tc>
          <w:tcPr>
            <w:tcW w:type="dxa" w:w="3460"/>
            <w:vAlign w:val="center"/>
            <w:tcMar>
              <w:top w:w="70" w:type="dxa"/>
              <w:start w:w="90" w:type="dxa"/>
              <w:bottom w:w="70" w:type="dxa"/>
              <w:end w:w="90" w:type="dxa"/>
            </w:tcMar>
          </w:tcPr>
          <w:p>
            <w:r>
              <w:rPr>
                <w:rFonts w:ascii="Calibri" w:hAnsi="Calibri"/>
                <w:b w:val="0"/>
                <w:i w:val="0"/>
                <w:color w:val="24323D"/>
                <w:sz w:val="17"/>
              </w:rPr>
              <w:t>rote Zwiebeln, Äpfel, Kapern, Beeren, Grünkohl</w:t>
            </w:r>
          </w:p>
        </w:tc>
      </w:tr>
      <w:tr>
        <w:trPr>
          <w:cantSplit/>
        </w:trPr>
        <w:tc>
          <w:tcPr>
            <w:tcW w:type="dxa" w:w="2400"/>
            <w:shd w:fill="F8FAFB"/>
            <w:vAlign w:val="center"/>
            <w:tcMar>
              <w:top w:w="70" w:type="dxa"/>
              <w:start w:w="90" w:type="dxa"/>
              <w:bottom w:w="70" w:type="dxa"/>
              <w:end w:w="90" w:type="dxa"/>
            </w:tcMar>
          </w:tcPr>
          <w:p>
            <w:r>
              <w:rPr>
                <w:rFonts w:ascii="Calibri" w:hAnsi="Calibri"/>
                <w:b/>
                <w:i w:val="0"/>
                <w:color w:val="218C74"/>
                <w:sz w:val="17"/>
              </w:rPr>
              <w:t>Kaempferol</w:t>
            </w:r>
          </w:p>
        </w:tc>
        <w:tc>
          <w:tcPr>
            <w:tcW w:type="dxa" w:w="3500"/>
            <w:shd w:fill="F8FAFB"/>
            <w:vAlign w:val="center"/>
            <w:tcMar>
              <w:top w:w="70" w:type="dxa"/>
              <w:start w:w="90" w:type="dxa"/>
              <w:bottom w:w="70" w:type="dxa"/>
              <w:end w:w="90" w:type="dxa"/>
            </w:tcMar>
          </w:tcPr>
          <w:p>
            <w:r>
              <w:rPr>
                <w:rFonts w:ascii="Calibri" w:hAnsi="Calibri"/>
                <w:b w:val="0"/>
                <w:i w:val="0"/>
                <w:color w:val="24323D"/>
                <w:sz w:val="17"/>
              </w:rPr>
              <w:t>PPARγ und FAAH erforscht</w:t>
            </w:r>
          </w:p>
        </w:tc>
        <w:tc>
          <w:tcPr>
            <w:tcW w:type="dxa" w:w="3460"/>
            <w:shd w:fill="F8FAFB"/>
            <w:vAlign w:val="center"/>
            <w:tcMar>
              <w:top w:w="70" w:type="dxa"/>
              <w:start w:w="90" w:type="dxa"/>
              <w:bottom w:w="70" w:type="dxa"/>
              <w:end w:w="90" w:type="dxa"/>
            </w:tcMar>
          </w:tcPr>
          <w:p>
            <w:r>
              <w:rPr>
                <w:rFonts w:ascii="Calibri" w:hAnsi="Calibri"/>
                <w:b w:val="0"/>
                <w:i w:val="0"/>
                <w:color w:val="24323D"/>
                <w:sz w:val="17"/>
              </w:rPr>
              <w:t>Grünkohl, Spinat, Brokkoli, Bohnen, Lauch</w:t>
            </w:r>
          </w:p>
        </w:tc>
      </w:tr>
      <w:tr>
        <w:trPr>
          <w:cantSplit/>
        </w:trPr>
        <w:tc>
          <w:tcPr>
            <w:tcW w:type="dxa" w:w="2400"/>
            <w:vAlign w:val="center"/>
            <w:tcMar>
              <w:top w:w="70" w:type="dxa"/>
              <w:start w:w="90" w:type="dxa"/>
              <w:bottom w:w="70" w:type="dxa"/>
              <w:end w:w="90" w:type="dxa"/>
            </w:tcMar>
          </w:tcPr>
          <w:p>
            <w:r>
              <w:rPr>
                <w:rFonts w:ascii="Calibri" w:hAnsi="Calibri"/>
                <w:b/>
                <w:i w:val="0"/>
                <w:color w:val="218C74"/>
                <w:sz w:val="17"/>
              </w:rPr>
              <w:t>Luteolin</w:t>
            </w:r>
          </w:p>
        </w:tc>
        <w:tc>
          <w:tcPr>
            <w:tcW w:type="dxa" w:w="3500"/>
            <w:vAlign w:val="center"/>
            <w:tcMar>
              <w:top w:w="70" w:type="dxa"/>
              <w:start w:w="90" w:type="dxa"/>
              <w:bottom w:w="70" w:type="dxa"/>
              <w:end w:w="90" w:type="dxa"/>
            </w:tcMar>
          </w:tcPr>
          <w:p>
            <w:r>
              <w:rPr>
                <w:rFonts w:ascii="Calibri" w:hAnsi="Calibri"/>
                <w:b w:val="0"/>
                <w:i w:val="0"/>
                <w:color w:val="24323D"/>
                <w:sz w:val="17"/>
              </w:rPr>
              <w:t>PPARγ/FAAH und Entzündungswege</w:t>
            </w:r>
          </w:p>
        </w:tc>
        <w:tc>
          <w:tcPr>
            <w:tcW w:type="dxa" w:w="3460"/>
            <w:vAlign w:val="center"/>
            <w:tcMar>
              <w:top w:w="70" w:type="dxa"/>
              <w:start w:w="90" w:type="dxa"/>
              <w:bottom w:w="70" w:type="dxa"/>
              <w:end w:w="90" w:type="dxa"/>
            </w:tcMar>
          </w:tcPr>
          <w:p>
            <w:r>
              <w:rPr>
                <w:rFonts w:ascii="Calibri" w:hAnsi="Calibri"/>
                <w:b w:val="0"/>
                <w:i w:val="0"/>
                <w:color w:val="24323D"/>
                <w:sz w:val="17"/>
              </w:rPr>
              <w:t>Paprika, Sellerie, Petersilie, Radicchio</w:t>
            </w:r>
          </w:p>
        </w:tc>
      </w:tr>
      <w:tr>
        <w:trPr>
          <w:cantSplit/>
        </w:trPr>
        <w:tc>
          <w:tcPr>
            <w:tcW w:type="dxa" w:w="2400"/>
            <w:shd w:fill="F8FAFB"/>
            <w:vAlign w:val="center"/>
            <w:tcMar>
              <w:top w:w="70" w:type="dxa"/>
              <w:start w:w="90" w:type="dxa"/>
              <w:bottom w:w="70" w:type="dxa"/>
              <w:end w:w="90" w:type="dxa"/>
            </w:tcMar>
          </w:tcPr>
          <w:p>
            <w:r>
              <w:rPr>
                <w:rFonts w:ascii="Calibri" w:hAnsi="Calibri"/>
                <w:b/>
                <w:i w:val="0"/>
                <w:color w:val="218C74"/>
                <w:sz w:val="17"/>
              </w:rPr>
              <w:t>Anthocyane</w:t>
            </w:r>
          </w:p>
        </w:tc>
        <w:tc>
          <w:tcPr>
            <w:tcW w:type="dxa" w:w="3500"/>
            <w:shd w:fill="F8FAFB"/>
            <w:vAlign w:val="center"/>
            <w:tcMar>
              <w:top w:w="70" w:type="dxa"/>
              <w:start w:w="90" w:type="dxa"/>
              <w:bottom w:w="70" w:type="dxa"/>
              <w:end w:w="90" w:type="dxa"/>
            </w:tcMar>
          </w:tcPr>
          <w:p>
            <w:r>
              <w:rPr>
                <w:rFonts w:ascii="Calibri" w:hAnsi="Calibri"/>
                <w:b w:val="0"/>
                <w:i w:val="0"/>
                <w:color w:val="24323D"/>
                <w:sz w:val="17"/>
              </w:rPr>
              <w:t>PPARγ/eCB-Stoffwechsel indirekt diskutiert</w:t>
            </w:r>
          </w:p>
        </w:tc>
        <w:tc>
          <w:tcPr>
            <w:tcW w:type="dxa" w:w="3460"/>
            <w:shd w:fill="F8FAFB"/>
            <w:vAlign w:val="center"/>
            <w:tcMar>
              <w:top w:w="70" w:type="dxa"/>
              <w:start w:w="90" w:type="dxa"/>
              <w:bottom w:w="70" w:type="dxa"/>
              <w:end w:w="90" w:type="dxa"/>
            </w:tcMar>
          </w:tcPr>
          <w:p>
            <w:r>
              <w:rPr>
                <w:rFonts w:ascii="Calibri" w:hAnsi="Calibri"/>
                <w:b w:val="0"/>
                <w:i w:val="0"/>
                <w:color w:val="24323D"/>
                <w:sz w:val="17"/>
              </w:rPr>
              <w:t>Heidel-, Brom- und Johannisbeeren, Kirschen, Rotkohl</w:t>
            </w:r>
          </w:p>
        </w:tc>
      </w:tr>
      <w:tr>
        <w:trPr>
          <w:cantSplit/>
        </w:trPr>
        <w:tc>
          <w:tcPr>
            <w:tcW w:type="dxa" w:w="2400"/>
            <w:vAlign w:val="center"/>
            <w:tcMar>
              <w:top w:w="70" w:type="dxa"/>
              <w:start w:w="90" w:type="dxa"/>
              <w:bottom w:w="70" w:type="dxa"/>
              <w:end w:w="90" w:type="dxa"/>
            </w:tcMar>
          </w:tcPr>
          <w:p>
            <w:r>
              <w:rPr>
                <w:rFonts w:ascii="Calibri" w:hAnsi="Calibri"/>
                <w:b/>
                <w:i w:val="0"/>
                <w:color w:val="218C74"/>
                <w:sz w:val="17"/>
              </w:rPr>
              <w:t>Naringenin / Hesperetin</w:t>
            </w:r>
          </w:p>
        </w:tc>
        <w:tc>
          <w:tcPr>
            <w:tcW w:type="dxa" w:w="3500"/>
            <w:vAlign w:val="center"/>
            <w:tcMar>
              <w:top w:w="70" w:type="dxa"/>
              <w:start w:w="90" w:type="dxa"/>
              <w:bottom w:w="70" w:type="dxa"/>
              <w:end w:w="90" w:type="dxa"/>
            </w:tcMar>
          </w:tcPr>
          <w:p>
            <w:r>
              <w:rPr>
                <w:rFonts w:ascii="Calibri" w:hAnsi="Calibri"/>
                <w:b w:val="0"/>
                <w:i w:val="0"/>
                <w:color w:val="24323D"/>
                <w:sz w:val="17"/>
              </w:rPr>
              <w:t>PPARα/γ</w:t>
            </w:r>
          </w:p>
        </w:tc>
        <w:tc>
          <w:tcPr>
            <w:tcW w:type="dxa" w:w="3460"/>
            <w:vAlign w:val="center"/>
            <w:tcMar>
              <w:top w:w="70" w:type="dxa"/>
              <w:start w:w="90" w:type="dxa"/>
              <w:bottom w:w="70" w:type="dxa"/>
              <w:end w:w="90" w:type="dxa"/>
            </w:tcMar>
          </w:tcPr>
          <w:p>
            <w:r>
              <w:rPr>
                <w:rFonts w:ascii="Calibri" w:hAnsi="Calibri"/>
                <w:b w:val="0"/>
                <w:i w:val="0"/>
                <w:color w:val="24323D"/>
                <w:sz w:val="17"/>
              </w:rPr>
              <w:t>Grapefruit, Orange, Mandarine, Zitrone</w:t>
            </w:r>
          </w:p>
        </w:tc>
      </w:tr>
      <w:tr>
        <w:trPr>
          <w:cantSplit/>
        </w:trPr>
        <w:tc>
          <w:tcPr>
            <w:tcW w:type="dxa" w:w="2400"/>
            <w:shd w:fill="F8FAFB"/>
            <w:vAlign w:val="center"/>
            <w:tcMar>
              <w:top w:w="70" w:type="dxa"/>
              <w:start w:w="90" w:type="dxa"/>
              <w:bottom w:w="70" w:type="dxa"/>
              <w:end w:w="90" w:type="dxa"/>
            </w:tcMar>
          </w:tcPr>
          <w:p>
            <w:r>
              <w:rPr>
                <w:rFonts w:ascii="Calibri" w:hAnsi="Calibri"/>
                <w:b/>
                <w:i w:val="0"/>
                <w:color w:val="218C74"/>
                <w:sz w:val="17"/>
              </w:rPr>
              <w:t>Lycopin</w:t>
            </w:r>
          </w:p>
        </w:tc>
        <w:tc>
          <w:tcPr>
            <w:tcW w:type="dxa" w:w="3500"/>
            <w:shd w:fill="F8FAFB"/>
            <w:vAlign w:val="center"/>
            <w:tcMar>
              <w:top w:w="70" w:type="dxa"/>
              <w:start w:w="90" w:type="dxa"/>
              <w:bottom w:w="70" w:type="dxa"/>
              <w:end w:w="90" w:type="dxa"/>
            </w:tcMar>
          </w:tcPr>
          <w:p>
            <w:r>
              <w:rPr>
                <w:rFonts w:ascii="Calibri" w:hAnsi="Calibri"/>
                <w:b w:val="0"/>
                <w:i w:val="0"/>
                <w:color w:val="24323D"/>
                <w:sz w:val="17"/>
              </w:rPr>
              <w:t>PPARγ und Entzündungswege diskutiert</w:t>
            </w:r>
          </w:p>
        </w:tc>
        <w:tc>
          <w:tcPr>
            <w:tcW w:type="dxa" w:w="3460"/>
            <w:shd w:fill="F8FAFB"/>
            <w:vAlign w:val="center"/>
            <w:tcMar>
              <w:top w:w="70" w:type="dxa"/>
              <w:start w:w="90" w:type="dxa"/>
              <w:bottom w:w="70" w:type="dxa"/>
              <w:end w:w="90" w:type="dxa"/>
            </w:tcMar>
          </w:tcPr>
          <w:p>
            <w:r>
              <w:rPr>
                <w:rFonts w:ascii="Calibri" w:hAnsi="Calibri"/>
                <w:b w:val="0"/>
                <w:i w:val="0"/>
                <w:color w:val="24323D"/>
                <w:sz w:val="17"/>
              </w:rPr>
              <w:t>Tomate, Wassermelone, rosa Grapefruit</w:t>
            </w:r>
          </w:p>
        </w:tc>
      </w:tr>
      <w:tr>
        <w:trPr>
          <w:cantSplit/>
        </w:trPr>
        <w:tc>
          <w:tcPr>
            <w:tcW w:type="dxa" w:w="2400"/>
            <w:vAlign w:val="center"/>
            <w:tcMar>
              <w:top w:w="70" w:type="dxa"/>
              <w:start w:w="90" w:type="dxa"/>
              <w:bottom w:w="70" w:type="dxa"/>
              <w:end w:w="90" w:type="dxa"/>
            </w:tcMar>
          </w:tcPr>
          <w:p>
            <w:r>
              <w:rPr>
                <w:rFonts w:ascii="Calibri" w:hAnsi="Calibri"/>
                <w:b/>
                <w:i w:val="0"/>
                <w:color w:val="218C74"/>
                <w:sz w:val="17"/>
              </w:rPr>
              <w:t>Indol-3-Carbinol / DIM</w:t>
            </w:r>
          </w:p>
        </w:tc>
        <w:tc>
          <w:tcPr>
            <w:tcW w:type="dxa" w:w="3500"/>
            <w:vAlign w:val="center"/>
            <w:tcMar>
              <w:top w:w="70" w:type="dxa"/>
              <w:start w:w="90" w:type="dxa"/>
              <w:bottom w:w="70" w:type="dxa"/>
              <w:end w:w="90" w:type="dxa"/>
            </w:tcMar>
          </w:tcPr>
          <w:p>
            <w:r>
              <w:rPr>
                <w:rFonts w:ascii="Calibri" w:hAnsi="Calibri"/>
                <w:b w:val="0"/>
                <w:i w:val="0"/>
                <w:color w:val="24323D"/>
                <w:sz w:val="17"/>
              </w:rPr>
              <w:t>AhR, PPAR- und Entzündungswege; kein klassischer ECS-Ligand</w:t>
            </w:r>
          </w:p>
        </w:tc>
        <w:tc>
          <w:tcPr>
            <w:tcW w:type="dxa" w:w="3460"/>
            <w:vAlign w:val="center"/>
            <w:tcMar>
              <w:top w:w="70" w:type="dxa"/>
              <w:start w:w="90" w:type="dxa"/>
              <w:bottom w:w="70" w:type="dxa"/>
              <w:end w:w="90" w:type="dxa"/>
            </w:tcMar>
          </w:tcPr>
          <w:p>
            <w:r>
              <w:rPr>
                <w:rFonts w:ascii="Calibri" w:hAnsi="Calibri"/>
                <w:b w:val="0"/>
                <w:i w:val="0"/>
                <w:color w:val="24323D"/>
                <w:sz w:val="17"/>
              </w:rPr>
              <w:t>Brokkoli, Rosenkohl, Kohl, Blumenkohl</w:t>
            </w:r>
          </w:p>
        </w:tc>
      </w:tr>
    </w:tbl>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FBE3E5"/>
          </w:tcPr>
          <w:p>
            <w:r>
              <w:rPr>
                <w:rFonts w:ascii="Calibri" w:hAnsi="Calibri"/>
                <w:b/>
                <w:i w:val="0"/>
                <w:color w:val="B23A48"/>
                <w:sz w:val="22"/>
              </w:rPr>
              <w:t>Achtung Grapefruit</w:t>
              <w:br/>
            </w:r>
            <w:r>
              <w:rPr>
                <w:rFonts w:ascii="Calibri" w:hAnsi="Calibri"/>
                <w:b w:val="0"/>
                <w:i w:val="0"/>
                <w:color w:val="24323D"/>
                <w:sz w:val="20"/>
              </w:rPr>
              <w:t>Grapefruit kann den Abbau zahlreicher Medikamente verändern. Bei regelmäßiger Medikamenteneinnahme vorher Arzt oder Apotheke fragen.</w:t>
            </w:r>
          </w:p>
        </w:tc>
      </w:tr>
    </w:tbl>
    <w:p>
      <w:r>
        <w:br w:type="page"/>
      </w:r>
    </w:p>
    <w:p>
      <w:pPr>
        <w:pStyle w:val="Heading1"/>
      </w:pPr>
      <w:r>
        <w:t>6. Schnelle Auswahl nach Lebensmittelgruppe</w:t>
      </w:r>
    </w:p>
    <w:tbl>
      <w:tblPr>
        <w:tblStyle w:val="TableGrid"/>
        <w:tblW w:type="auto" w:w="0"/>
        <w:jc w:val="left"/>
        <w:tblLayout w:type="fixed"/>
        <w:tblLook w:firstColumn="1" w:firstRow="1" w:lastColumn="0" w:lastRow="0" w:noHBand="0" w:noVBand="1" w:val="04A0"/>
      </w:tblPr>
      <w:tblGrid>
        <w:gridCol w:w="3120"/>
        <w:gridCol w:w="3120"/>
        <w:gridCol w:w="3120"/>
      </w:tblGrid>
      <w:tr>
        <w:trPr>
          <w:tblHeader/>
          <w:cantSplit/>
        </w:trPr>
        <w:tc>
          <w:tcPr>
            <w:tcW w:type="dxa" w:w="16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Gruppe</w:t>
            </w:r>
          </w:p>
        </w:tc>
        <w:tc>
          <w:tcPr>
            <w:tcW w:type="dxa" w:w="410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Gute Auswahl</w:t>
            </w:r>
          </w:p>
        </w:tc>
        <w:tc>
          <w:tcPr>
            <w:tcW w:type="dxa" w:w="3660"/>
            <w:vAlign w:val="center"/>
            <w:tcMar>
              <w:top w:w="70" w:type="dxa"/>
              <w:start w:w="90" w:type="dxa"/>
              <w:bottom w:w="70" w:type="dxa"/>
              <w:end w:w="90" w:type="dxa"/>
            </w:tcMar>
            <w:shd w:fill="E8EEF5"/>
            <w:tcMar>
              <w:top w:w="70" w:type="dxa"/>
              <w:start w:w="90" w:type="dxa"/>
              <w:bottom w:w="70" w:type="dxa"/>
              <w:end w:w="90" w:type="dxa"/>
            </w:tcMar>
          </w:tcPr>
          <w:p>
            <w:r>
              <w:rPr>
                <w:rFonts w:ascii="Calibri" w:hAnsi="Calibri"/>
                <w:b/>
                <w:i w:val="0"/>
                <w:color w:val="173F5F"/>
                <w:sz w:val="18"/>
              </w:rPr>
              <w:t>Wichtige Pflanzenstoffe</w:t>
            </w:r>
          </w:p>
        </w:tc>
      </w:tr>
      <w:tr>
        <w:trPr>
          <w:cantSplit/>
        </w:trPr>
        <w:tc>
          <w:tcPr>
            <w:tcW w:type="dxa" w:w="1600"/>
            <w:vAlign w:val="center"/>
            <w:tcMar>
              <w:top w:w="70" w:type="dxa"/>
              <w:start w:w="90" w:type="dxa"/>
              <w:bottom w:w="70" w:type="dxa"/>
              <w:end w:w="90" w:type="dxa"/>
            </w:tcMar>
          </w:tcPr>
          <w:p>
            <w:r>
              <w:rPr>
                <w:rFonts w:ascii="Calibri" w:hAnsi="Calibri"/>
                <w:b/>
                <w:i w:val="0"/>
                <w:color w:val="218C74"/>
                <w:sz w:val="17"/>
              </w:rPr>
              <w:t>Obst</w:t>
            </w:r>
          </w:p>
        </w:tc>
        <w:tc>
          <w:tcPr>
            <w:tcW w:type="dxa" w:w="4100"/>
            <w:vAlign w:val="center"/>
            <w:tcMar>
              <w:top w:w="70" w:type="dxa"/>
              <w:start w:w="90" w:type="dxa"/>
              <w:bottom w:w="70" w:type="dxa"/>
              <w:end w:w="90" w:type="dxa"/>
            </w:tcMar>
          </w:tcPr>
          <w:p>
            <w:r>
              <w:rPr>
                <w:rFonts w:ascii="Calibri" w:hAnsi="Calibri"/>
                <w:b w:val="0"/>
                <w:i w:val="0"/>
                <w:color w:val="24323D"/>
                <w:sz w:val="17"/>
              </w:rPr>
              <w:t>Äpfel, Beeren, dunkle Trauben, Kirschen, Zitrusfrüchte, Wassermelone</w:t>
            </w:r>
          </w:p>
        </w:tc>
        <w:tc>
          <w:tcPr>
            <w:tcW w:type="dxa" w:w="3660"/>
            <w:vAlign w:val="center"/>
            <w:tcMar>
              <w:top w:w="70" w:type="dxa"/>
              <w:start w:w="90" w:type="dxa"/>
              <w:bottom w:w="70" w:type="dxa"/>
              <w:end w:w="90" w:type="dxa"/>
            </w:tcMar>
          </w:tcPr>
          <w:p>
            <w:r>
              <w:rPr>
                <w:rFonts w:ascii="Calibri" w:hAnsi="Calibri"/>
                <w:b w:val="0"/>
                <w:i w:val="0"/>
                <w:color w:val="24323D"/>
                <w:sz w:val="17"/>
              </w:rPr>
              <w:t>Quercetin, Anthocyane, Resveratrol, Flavanone, Lycopin</w:t>
            </w:r>
          </w:p>
        </w:tc>
      </w:tr>
      <w:tr>
        <w:trPr>
          <w:cantSplit/>
        </w:trPr>
        <w:tc>
          <w:tcPr>
            <w:tcW w:type="dxa" w:w="1600"/>
            <w:shd w:fill="F8FAFB"/>
            <w:vAlign w:val="center"/>
            <w:tcMar>
              <w:top w:w="70" w:type="dxa"/>
              <w:start w:w="90" w:type="dxa"/>
              <w:bottom w:w="70" w:type="dxa"/>
              <w:end w:w="90" w:type="dxa"/>
            </w:tcMar>
          </w:tcPr>
          <w:p>
            <w:r>
              <w:rPr>
                <w:rFonts w:ascii="Calibri" w:hAnsi="Calibri"/>
                <w:b/>
                <w:i w:val="0"/>
                <w:color w:val="218C74"/>
                <w:sz w:val="17"/>
              </w:rPr>
              <w:t>Gemüse</w:t>
            </w:r>
          </w:p>
        </w:tc>
        <w:tc>
          <w:tcPr>
            <w:tcW w:type="dxa" w:w="4100"/>
            <w:shd w:fill="F8FAFB"/>
            <w:vAlign w:val="center"/>
            <w:tcMar>
              <w:top w:w="70" w:type="dxa"/>
              <w:start w:w="90" w:type="dxa"/>
              <w:bottom w:w="70" w:type="dxa"/>
              <w:end w:w="90" w:type="dxa"/>
            </w:tcMar>
          </w:tcPr>
          <w:p>
            <w:r>
              <w:rPr>
                <w:rFonts w:ascii="Calibri" w:hAnsi="Calibri"/>
                <w:b w:val="0"/>
                <w:i w:val="0"/>
                <w:color w:val="24323D"/>
                <w:sz w:val="17"/>
              </w:rPr>
              <w:t>Brokkoli(-sprossen), Kohl, Grünkohl, Tomate, Paprika, Sellerie, rote Zwiebel, Knoblauch</w:t>
            </w:r>
          </w:p>
        </w:tc>
        <w:tc>
          <w:tcPr>
            <w:tcW w:type="dxa" w:w="3660"/>
            <w:shd w:fill="F8FAFB"/>
            <w:vAlign w:val="center"/>
            <w:tcMar>
              <w:top w:w="70" w:type="dxa"/>
              <w:start w:w="90" w:type="dxa"/>
              <w:bottom w:w="70" w:type="dxa"/>
              <w:end w:w="90" w:type="dxa"/>
            </w:tcMar>
          </w:tcPr>
          <w:p>
            <w:r>
              <w:rPr>
                <w:rFonts w:ascii="Calibri" w:hAnsi="Calibri"/>
                <w:b w:val="0"/>
                <w:i w:val="0"/>
                <w:color w:val="24323D"/>
                <w:sz w:val="17"/>
              </w:rPr>
              <w:t>Sulforaphan, Indole, Lycopin, Luteolin, Apigenin, Quercetin, Allicin</w:t>
            </w:r>
          </w:p>
        </w:tc>
      </w:tr>
      <w:tr>
        <w:trPr>
          <w:cantSplit/>
        </w:trPr>
        <w:tc>
          <w:tcPr>
            <w:tcW w:type="dxa" w:w="1600"/>
            <w:vAlign w:val="center"/>
            <w:tcMar>
              <w:top w:w="70" w:type="dxa"/>
              <w:start w:w="90" w:type="dxa"/>
              <w:bottom w:w="70" w:type="dxa"/>
              <w:end w:w="90" w:type="dxa"/>
            </w:tcMar>
          </w:tcPr>
          <w:p>
            <w:r>
              <w:rPr>
                <w:rFonts w:ascii="Calibri" w:hAnsi="Calibri"/>
                <w:b/>
                <w:i w:val="0"/>
                <w:color w:val="218C74"/>
                <w:sz w:val="17"/>
              </w:rPr>
              <w:t>Salat &amp; Kräuter</w:t>
            </w:r>
          </w:p>
        </w:tc>
        <w:tc>
          <w:tcPr>
            <w:tcW w:type="dxa" w:w="4100"/>
            <w:vAlign w:val="center"/>
            <w:tcMar>
              <w:top w:w="70" w:type="dxa"/>
              <w:start w:w="90" w:type="dxa"/>
              <w:bottom w:w="70" w:type="dxa"/>
              <w:end w:w="90" w:type="dxa"/>
            </w:tcMar>
          </w:tcPr>
          <w:p>
            <w:r>
              <w:rPr>
                <w:rFonts w:ascii="Calibri" w:hAnsi="Calibri"/>
                <w:b w:val="0"/>
                <w:i w:val="0"/>
                <w:color w:val="24323D"/>
                <w:sz w:val="17"/>
              </w:rPr>
              <w:t>Radicchio, Radieschen, Petersilie, Basilikum, Oregano, Thymian, Minze</w:t>
            </w:r>
          </w:p>
        </w:tc>
        <w:tc>
          <w:tcPr>
            <w:tcW w:type="dxa" w:w="3660"/>
            <w:vAlign w:val="center"/>
            <w:tcMar>
              <w:top w:w="70" w:type="dxa"/>
              <w:start w:w="90" w:type="dxa"/>
              <w:bottom w:w="70" w:type="dxa"/>
              <w:end w:w="90" w:type="dxa"/>
            </w:tcMar>
          </w:tcPr>
          <w:p>
            <w:r>
              <w:rPr>
                <w:rFonts w:ascii="Calibri" w:hAnsi="Calibri"/>
                <w:b w:val="0"/>
                <w:i w:val="0"/>
                <w:color w:val="24323D"/>
                <w:sz w:val="17"/>
              </w:rPr>
              <w:t>Luteolin, Isothiocyanate, Apigenin, Eugenol, Carvacrol, Thymol, Menthol</w:t>
            </w:r>
          </w:p>
        </w:tc>
      </w:tr>
      <w:tr>
        <w:trPr>
          <w:cantSplit/>
        </w:trPr>
        <w:tc>
          <w:tcPr>
            <w:tcW w:type="dxa" w:w="1600"/>
            <w:shd w:fill="F8FAFB"/>
            <w:vAlign w:val="center"/>
            <w:tcMar>
              <w:top w:w="70" w:type="dxa"/>
              <w:start w:w="90" w:type="dxa"/>
              <w:bottom w:w="70" w:type="dxa"/>
              <w:end w:w="90" w:type="dxa"/>
            </w:tcMar>
          </w:tcPr>
          <w:p>
            <w:r>
              <w:rPr>
                <w:rFonts w:ascii="Calibri" w:hAnsi="Calibri"/>
                <w:b/>
                <w:i w:val="0"/>
                <w:color w:val="218C74"/>
                <w:sz w:val="17"/>
              </w:rPr>
              <w:t>Dressing &amp; Gewürze</w:t>
            </w:r>
          </w:p>
        </w:tc>
        <w:tc>
          <w:tcPr>
            <w:tcW w:type="dxa" w:w="4100"/>
            <w:shd w:fill="F8FAFB"/>
            <w:vAlign w:val="center"/>
            <w:tcMar>
              <w:top w:w="70" w:type="dxa"/>
              <w:start w:w="90" w:type="dxa"/>
              <w:bottom w:w="70" w:type="dxa"/>
              <w:end w:w="90" w:type="dxa"/>
            </w:tcMar>
          </w:tcPr>
          <w:p>
            <w:r>
              <w:rPr>
                <w:rFonts w:ascii="Calibri" w:hAnsi="Calibri"/>
                <w:b w:val="0"/>
                <w:i w:val="0"/>
                <w:color w:val="24323D"/>
                <w:sz w:val="17"/>
              </w:rPr>
              <w:t>natives Olivenöl extra, Senf, Zitrone, schwarzer Pfeffer, Ingwer, wenig Chili</w:t>
            </w:r>
          </w:p>
        </w:tc>
        <w:tc>
          <w:tcPr>
            <w:tcW w:type="dxa" w:w="3660"/>
            <w:shd w:fill="F8FAFB"/>
            <w:vAlign w:val="center"/>
            <w:tcMar>
              <w:top w:w="70" w:type="dxa"/>
              <w:start w:w="90" w:type="dxa"/>
              <w:bottom w:w="70" w:type="dxa"/>
              <w:end w:w="90" w:type="dxa"/>
            </w:tcMar>
          </w:tcPr>
          <w:p>
            <w:r>
              <w:rPr>
                <w:rFonts w:ascii="Calibri" w:hAnsi="Calibri"/>
                <w:b w:val="0"/>
                <w:i w:val="0"/>
                <w:color w:val="24323D"/>
                <w:sz w:val="17"/>
              </w:rPr>
              <w:t>Oleocanthal, Isothiocyanate, Flavanone, β-Caryophyllen, Piperin, Gingerole, Capsaicin</w:t>
            </w:r>
          </w:p>
        </w:tc>
      </w:tr>
    </w:tbl>
    <w:p>
      <w:pPr>
        <w:pStyle w:val="Heading2"/>
      </w:pPr>
      <w:r>
        <w:t>Baukasten für einen bunten Salat</w:t>
      </w:r>
    </w:p>
    <w:p>
      <w:pPr>
        <w:pStyle w:val="ListNumber"/>
      </w:pPr>
      <w:r>
        <w:t>Basis: Blattsalat oder Radicchio</w:t>
      </w:r>
    </w:p>
    <w:p>
      <w:pPr>
        <w:pStyle w:val="ListNumber"/>
      </w:pPr>
      <w:r>
        <w:t>Farbe: Tomate und rote Paprika</w:t>
      </w:r>
    </w:p>
    <w:p>
      <w:pPr>
        <w:pStyle w:val="ListNumber"/>
      </w:pPr>
      <w:r>
        <w:t>Kreuzblütler: Brokkolisprossen oder fein geschnittener Kohl</w:t>
      </w:r>
    </w:p>
    <w:p>
      <w:pPr>
        <w:pStyle w:val="ListNumber"/>
      </w:pPr>
      <w:r>
        <w:t>Würze: rote Zwiebel, Petersilie, Basilikum und Radieschen</w:t>
      </w:r>
    </w:p>
    <w:p>
      <w:pPr>
        <w:pStyle w:val="ListNumber"/>
      </w:pPr>
      <w:r>
        <w:t>Dressing: natives Olivenöl extra, Senf und Zitrone</w:t>
      </w:r>
    </w:p>
    <w:p>
      <w:pPr>
        <w:pStyle w:val="ListNumber"/>
      </w:pPr>
      <w:r>
        <w:t>Abschluss: schwarzer Pfeffer, Oregano; Chili nur bei guter Verträglichkeit</w:t>
      </w:r>
    </w:p>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EAF6F2"/>
          </w:tcPr>
          <w:p>
            <w:r>
              <w:rPr>
                <w:rFonts w:ascii="Calibri" w:hAnsi="Calibri"/>
                <w:b/>
                <w:i w:val="0"/>
                <w:color w:val="218C74"/>
                <w:sz w:val="22"/>
              </w:rPr>
              <w:t>Vielfalt vor Perfektion</w:t>
              <w:br/>
            </w:r>
            <w:r>
              <w:rPr>
                <w:rFonts w:ascii="Calibri" w:hAnsi="Calibri"/>
                <w:b w:val="0"/>
                <w:i w:val="0"/>
                <w:color w:val="24323D"/>
                <w:sz w:val="20"/>
              </w:rPr>
              <w:t>Über die Woche verschiedene Farben, Gemüsefamilien, Kräuter und Gewürze kombinieren. Die Ernährungsqualität insgesamt ist wichtiger als ein einzelner Rezeptor-Treffer.</w:t>
            </w:r>
          </w:p>
        </w:tc>
      </w:tr>
    </w:tbl>
    <w:p>
      <w:r>
        <w:br w:type="page"/>
      </w:r>
    </w:p>
    <w:p>
      <w:pPr>
        <w:pStyle w:val="Heading1"/>
      </w:pPr>
      <w:r>
        <w:t>7. Wissenschaftliche Einordnung &amp; Quellen</w:t>
      </w:r>
    </w:p>
    <w:p>
      <w:r>
        <w:t>Für die direkte Zielbindung ist die Evidenz bei einigen Stoffen mechanistisch klar. Klinische Aussagen zu Prävention oder Therapie sind wesentlich unsicherer. Lebensmittelkonzentrationen schwanken und liegen oft deutlich unter experimentellen Konzentrationen gereinigter Stoffe.</w:t>
      </w:r>
    </w:p>
    <w:p>
      <w:pPr>
        <w:spacing w:after="140"/>
      </w:pPr>
      <w:r>
        <w:rPr>
          <w:rFonts w:ascii="Calibri" w:hAnsi="Calibri"/>
          <w:b/>
          <w:i w:val="0"/>
          <w:color w:val="173F5F"/>
          <w:sz w:val="19"/>
        </w:rPr>
        <w:t>Gertsch et al.: β-Caryophyllen als CB2-Ligand</w:t>
        <w:br/>
      </w:r>
      <w:r>
        <w:rPr>
          <w:rFonts w:ascii="Calibri" w:hAnsi="Calibri"/>
          <w:b w:val="0"/>
          <w:i w:val="0"/>
          <w:color w:val="2E74B5"/>
          <w:sz w:val="17"/>
          <w:u w:val="single"/>
        </w:rPr>
        <w:t>https://pubmed.ncbi.nlm.nih.gov/18574142/</w:t>
      </w:r>
    </w:p>
    <w:p>
      <w:pPr>
        <w:spacing w:after="140"/>
      </w:pPr>
      <w:r>
        <w:rPr>
          <w:rFonts w:ascii="Calibri" w:hAnsi="Calibri"/>
          <w:b/>
          <w:i w:val="0"/>
          <w:color w:val="173F5F"/>
          <w:sz w:val="19"/>
        </w:rPr>
        <w:t>Cannabimimetic phytochemicals in the diet – Überblick</w:t>
        <w:br/>
      </w:r>
      <w:r>
        <w:rPr>
          <w:rFonts w:ascii="Calibri" w:hAnsi="Calibri"/>
          <w:b w:val="0"/>
          <w:i w:val="0"/>
          <w:color w:val="2E74B5"/>
          <w:sz w:val="17"/>
          <w:u w:val="single"/>
        </w:rPr>
        <w:t>https://pmc.ncbi.nlm.nih.gov/articles/PMC5429335/</w:t>
      </w:r>
    </w:p>
    <w:p>
      <w:pPr>
        <w:spacing w:after="140"/>
      </w:pPr>
      <w:r>
        <w:rPr>
          <w:rFonts w:ascii="Calibri" w:hAnsi="Calibri"/>
          <w:b/>
          <w:i w:val="0"/>
          <w:color w:val="173F5F"/>
          <w:sz w:val="19"/>
        </w:rPr>
        <w:t>McPartland et al.: Care and Feeding of the Endocannabinoid System</w:t>
        <w:br/>
      </w:r>
      <w:r>
        <w:rPr>
          <w:rFonts w:ascii="Calibri" w:hAnsi="Calibri"/>
          <w:b w:val="0"/>
          <w:i w:val="0"/>
          <w:color w:val="2E74B5"/>
          <w:sz w:val="17"/>
          <w:u w:val="single"/>
        </w:rPr>
        <w:t>https://journals.plos.org/plosone/article?id=10.1371/journal.pone.0089566</w:t>
      </w:r>
    </w:p>
    <w:p>
      <w:pPr>
        <w:spacing w:after="140"/>
      </w:pPr>
      <w:r>
        <w:rPr>
          <w:rFonts w:ascii="Calibri" w:hAnsi="Calibri"/>
          <w:b/>
          <w:i w:val="0"/>
          <w:color w:val="173F5F"/>
          <w:sz w:val="19"/>
        </w:rPr>
        <w:t>Xu et al.: TRPV3-Aktivierung durch Pflanzenstoffe</w:t>
        <w:br/>
      </w:r>
      <w:r>
        <w:rPr>
          <w:rFonts w:ascii="Calibri" w:hAnsi="Calibri"/>
          <w:b w:val="0"/>
          <w:i w:val="0"/>
          <w:color w:val="2E74B5"/>
          <w:sz w:val="17"/>
          <w:u w:val="single"/>
        </w:rPr>
        <w:t>https://pubmed.ncbi.nlm.nih.gov/16617338/</w:t>
      </w:r>
    </w:p>
    <w:p>
      <w:pPr>
        <w:spacing w:after="140"/>
      </w:pPr>
      <w:r>
        <w:rPr>
          <w:rFonts w:ascii="Calibri" w:hAnsi="Calibri"/>
          <w:b/>
          <w:i w:val="0"/>
          <w:color w:val="173F5F"/>
          <w:sz w:val="19"/>
        </w:rPr>
        <w:t>Apigenin und TRPV4</w:t>
        <w:br/>
      </w:r>
      <w:r>
        <w:rPr>
          <w:rFonts w:ascii="Calibri" w:hAnsi="Calibri"/>
          <w:b w:val="0"/>
          <w:i w:val="0"/>
          <w:color w:val="2E74B5"/>
          <w:sz w:val="17"/>
          <w:u w:val="single"/>
        </w:rPr>
        <w:t>https://pmc.ncbi.nlm.nih.gov/articles/PMC3415659/</w:t>
      </w:r>
    </w:p>
    <w:p>
      <w:pPr>
        <w:spacing w:after="140"/>
      </w:pPr>
      <w:r>
        <w:rPr>
          <w:rFonts w:ascii="Calibri" w:hAnsi="Calibri"/>
          <w:b/>
          <w:i w:val="0"/>
          <w:color w:val="173F5F"/>
          <w:sz w:val="19"/>
        </w:rPr>
        <w:t>Piperin und TRPV1</w:t>
        <w:br/>
      </w:r>
      <w:r>
        <w:rPr>
          <w:rFonts w:ascii="Calibri" w:hAnsi="Calibri"/>
          <w:b w:val="0"/>
          <w:i w:val="0"/>
          <w:color w:val="2E74B5"/>
          <w:sz w:val="17"/>
          <w:u w:val="single"/>
        </w:rPr>
        <w:t>https://pmc.ncbi.nlm.nih.gov/articles/PMC6626684/</w:t>
      </w:r>
    </w:p>
    <w:tbl>
      <w:tblPr>
        <w:tblStyle w:val="TableGrid"/>
        <w:tblW w:type="auto" w:w="0"/>
        <w:jc w:val="left"/>
        <w:tblLayout w:type="fixed"/>
        <w:tblLook w:firstColumn="1" w:firstRow="1" w:lastColumn="0" w:lastRow="0" w:noHBand="0" w:noVBand="1" w:val="04A0"/>
      </w:tblPr>
      <w:tblGrid>
        <w:gridCol w:w="9360"/>
      </w:tblGrid>
      <w:tr>
        <w:trPr>
          <w:cantSplit/>
        </w:trPr>
        <w:tc>
          <w:tcPr>
            <w:tcW w:type="dxa" w:w="9360"/>
            <w:vAlign w:val="center"/>
            <w:tcMar>
              <w:top w:w="70" w:type="dxa"/>
              <w:start w:w="90" w:type="dxa"/>
              <w:bottom w:w="70" w:type="dxa"/>
              <w:end w:w="90" w:type="dxa"/>
            </w:tcMar>
            <w:shd w:fill="FFF8DF"/>
          </w:tcPr>
          <w:p>
            <w:r>
              <w:rPr>
                <w:rFonts w:ascii="Calibri" w:hAnsi="Calibri"/>
                <w:b/>
                <w:i w:val="0"/>
                <w:color w:val="8B6508"/>
                <w:sz w:val="22"/>
              </w:rPr>
              <w:t>Medizinischer Hinweis</w:t>
              <w:br/>
            </w:r>
            <w:r>
              <w:rPr>
                <w:rFonts w:ascii="Calibri" w:hAnsi="Calibri"/>
                <w:b w:val="0"/>
                <w:i w:val="0"/>
                <w:color w:val="24323D"/>
                <w:sz w:val="20"/>
              </w:rPr>
              <w:t>Diese Broschüre dient der allgemeinen Information. Sie ersetzt keine Diagnose, individuelle Ernährungsberatung oder ärztliche Behandlung. Bei Erkrankungen, Allergien, Schwangerschaft oder Medikamenteneinnahme die Auswahl mit dem Behandlungsteam abstimmen.</w:t>
            </w:r>
          </w:p>
        </w:tc>
      </w:tr>
    </w:tbl>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57580"/>
        <w:sz w:val="16"/>
      </w:rPr>
      <w:t>Auswahlhilfe • Stand: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2E74B5"/>
        <w:sz w:val="16"/>
      </w:rPr>
      <w:t>PATIENTENINFORMATION  |  PFLANZENSTOFFE &amp; eECS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432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73F5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2E74B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Pflanzenstoffe und erweitertes Endocannabinoidsystem – Patientenbroschüre</dc:title>
  <dc:subject/>
  <dc:creator>Patienteninformation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