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60" w:after="320" w:line="300" w:lineRule="auto"/>
        <w:jc w:val="center"/>
      </w:pPr>
      <w:r>
        <w:rPr>
          <w:rFonts w:ascii="Calibri" w:hAnsi="Calibri"/>
          <w:b/>
          <w:i w:val="0"/>
          <w:color w:val="D89B2B"/>
          <w:sz w:val="20"/>
        </w:rPr>
        <w:t>PATIENTENBROSCHÜRE</w:t>
      </w:r>
    </w:p>
    <w:p>
      <w:pPr>
        <w:spacing w:before="0" w:after="200" w:line="252" w:lineRule="auto"/>
        <w:jc w:val="center"/>
      </w:pPr>
      <w:r>
        <w:rPr>
          <w:rFonts w:ascii="Calibri" w:hAnsi="Calibri"/>
          <w:b/>
          <w:i w:val="0"/>
          <w:color w:val="173B57"/>
          <w:sz w:val="56"/>
        </w:rPr>
        <w:t>CBG und CBC bei</w:t>
        <w:br/>
        <w:t>Lungenkrebs</w:t>
      </w:r>
    </w:p>
    <w:p>
      <w:pPr>
        <w:spacing w:before="0" w:after="600" w:line="288" w:lineRule="auto"/>
        <w:jc w:val="center"/>
      </w:pPr>
      <w:r>
        <w:rPr>
          <w:rFonts w:ascii="Calibri" w:hAnsi="Calibri"/>
          <w:b w:val="0"/>
          <w:i w:val="0"/>
          <w:color w:val="2B7A78"/>
          <w:sz w:val="30"/>
        </w:rPr>
        <w:t>Was die neue Rostocker Laborstudie zeigt – und was noch offen ist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FF4D8"/>
          </w:tcPr>
          <w:p>
            <w:pPr>
              <w:spacing w:after="40" w:line="288" w:lineRule="auto"/>
            </w:pPr>
            <w:r>
              <w:rPr>
                <w:rFonts w:ascii="Calibri" w:hAnsi="Calibri"/>
                <w:b/>
                <w:i w:val="0"/>
                <w:color w:val="D89B2B"/>
                <w:sz w:val="22"/>
              </w:rPr>
              <w:t xml:space="preserve">Kurz gesagt: </w:t>
            </w:r>
            <w:r>
              <w:rPr>
                <w:rFonts w:ascii="Calibri" w:hAnsi="Calibri"/>
                <w:b w:val="0"/>
                <w:i w:val="0"/>
                <w:color w:val="20313D"/>
                <w:sz w:val="22"/>
              </w:rPr>
              <w:t>CBG und CBC konnten in zwei Lungenkrebs-Zelllinien im Labor den programmierten Zelltod anstoßen. Ob das bei Menschen sicher und wirksam funktioniert, wurde noch nicht untersucht.</w:t>
            </w:r>
          </w:p>
        </w:tc>
      </w:tr>
    </w:tbl>
    <w:p>
      <w:pPr>
        <w:spacing w:before="0" w:after="40" w:line="300" w:lineRule="auto"/>
      </w:pPr>
      <w:r>
        <w:rPr>
          <w:rFonts w:ascii="Calibri" w:hAnsi="Calibri"/>
          <w:b w:val="0"/>
          <w:i w:val="0"/>
          <w:color w:val="20313D"/>
          <w:sz w:val="22"/>
        </w:rPr>
      </w:r>
    </w:p>
    <w:p>
      <w:pPr>
        <w:spacing w:before="320" w:after="600" w:line="300" w:lineRule="auto"/>
        <w:jc w:val="center"/>
      </w:pPr>
      <w:r>
        <w:rPr>
          <w:rFonts w:ascii="Calibri" w:hAnsi="Calibri"/>
          <w:b w:val="0"/>
          <w:i w:val="0"/>
          <w:color w:val="20313D"/>
          <w:sz w:val="22"/>
        </w:rPr>
        <w:t>Diese Broschüre erklärt den theoretischen Wirkmechanismus in verständlicher Sprache. Sie ist für Patientinnen und Patienten, Angehörige und Beratende gedacht.</w:t>
      </w:r>
    </w:p>
    <w:p>
      <w:pPr>
        <w:spacing w:before="0" w:after="200" w:line="300" w:lineRule="auto"/>
        <w:jc w:val="center"/>
      </w:pPr>
      <w:r>
        <w:rPr>
          <w:rFonts w:ascii="Calibri" w:hAnsi="Calibri"/>
          <w:b/>
          <w:i w:val="0"/>
          <w:color w:val="A33A3A"/>
          <w:sz w:val="22"/>
        </w:rPr>
        <w:t>Wichtig: CBG und CBC sind derzeit keine zugelassenen Krebsmedikamente. Eine bestehende Krebsbehandlung darf nicht eigenständig verändert oder beendet werden.</w:t>
      </w:r>
    </w:p>
    <w:p>
      <w:r>
        <w:br w:type="page"/>
      </w:r>
    </w:p>
    <w:p>
      <w:pPr>
        <w:pStyle w:val="Heading1"/>
        <w:keepNext/>
      </w:pPr>
      <w:r>
        <w:t>1. Worum ging es in der Studie?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Forschende der Universitätsmedizin Rostock untersuchten die nicht berauschenden Pflanzenstoffe Cannabigerol (CBG) und Cannabichromen (CBC). Beide gehören zu den Cannabinoiden der Cannabispflanze.</w:t>
      </w:r>
    </w:p>
    <w:p>
      <w:pPr>
        <w:spacing w:before="0" w:after="120" w:line="300" w:lineRule="auto"/>
      </w:pPr>
      <w:r>
        <w:rPr>
          <w:rFonts w:ascii="Calibri" w:hAnsi="Calibri"/>
          <w:b/>
          <w:i w:val="0"/>
          <w:color w:val="20313D"/>
          <w:sz w:val="22"/>
        </w:rPr>
        <w:t>Untersucht wurden zwei menschliche Zelllinien des nichtkleinzelligen Lungenkrebses: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A549-Zellen: Modell eines Lungenadenokarzinoms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H460-Zellen: Modell eines großzelligen Lungenkarzinoms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Die Zellen wurden außerhalb des menschlichen Körpers mit isoliertem CBG oder CBC behandelt. Danach wurde geprüft, ob die Zellen weiterleben, Energie bilden, Kolonien bilden oder ein kontrolliertes Zelltodprogramm aktivieren.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EAF3F8"/>
          </w:tcPr>
          <w:p>
            <w:pPr>
              <w:spacing w:after="40" w:line="288" w:lineRule="auto"/>
            </w:pPr>
            <w:r>
              <w:rPr>
                <w:rFonts w:ascii="Calibri" w:hAnsi="Calibri"/>
                <w:b/>
                <w:i w:val="0"/>
                <w:color w:val="2E74B5"/>
                <w:sz w:val="22"/>
              </w:rPr>
              <w:t xml:space="preserve">Das Ergebnis: </w:t>
            </w:r>
            <w:r>
              <w:rPr>
                <w:rFonts w:ascii="Calibri" w:hAnsi="Calibri"/>
                <w:b w:val="0"/>
                <w:i w:val="0"/>
                <w:color w:val="20313D"/>
                <w:sz w:val="22"/>
              </w:rPr>
              <w:t>CBG und CBC verminderten abhängig von Konzentration und Einwirkzeit das Überleben und die Stoffwechselaktivität der Krebszellen. Außerdem wurden Zeichen von Autophagie, mitochondrialer Schädigung und Apoptose gemessen.</w:t>
            </w:r>
          </w:p>
        </w:tc>
      </w:tr>
    </w:tbl>
    <w:p>
      <w:pPr>
        <w:spacing w:before="0" w:after="40" w:line="300" w:lineRule="auto"/>
      </w:pPr>
      <w:r>
        <w:rPr>
          <w:rFonts w:ascii="Calibri" w:hAnsi="Calibri"/>
          <w:b w:val="0"/>
          <w:i w:val="0"/>
          <w:color w:val="20313D"/>
          <w:sz w:val="22"/>
        </w:rPr>
      </w:r>
    </w:p>
    <w:p>
      <w:pPr>
        <w:pStyle w:val="Heading2"/>
        <w:keepNext/>
      </w:pPr>
      <w:r>
        <w:t>Was bedeutet „in vitro“?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„In vitro“ bedeutet: im Labor, zum Beispiel in einer Zellkulturschale. Solche Versuche sind wichtig, können aber noch nicht zeigen, ob ein Stoff im menschlichen Körper wirksam, verträglich und ausreichend dosierbar ist.</w:t>
      </w:r>
    </w:p>
    <w:p>
      <w:r>
        <w:br w:type="page"/>
      </w:r>
    </w:p>
    <w:p>
      <w:pPr>
        <w:pStyle w:val="Heading1"/>
        <w:keepNext/>
      </w:pPr>
      <w:r>
        <w:t>2. Das theoretische Wirkmodell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Im Mittelpunkt stehen die Mitochondrien. Sie sind die „Kraftwerke“ der Zelle und liefern Energie. Werden sie stark geschädigt, kann die Zelle ein kontrolliertes Selbstzerstörungsprogramm starten.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35040" cy="33798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rkmechanismus_cbg_cb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3798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 w:line="300" w:lineRule="auto"/>
        <w:jc w:val="center"/>
      </w:pPr>
      <w:r>
        <w:rPr>
          <w:rFonts w:ascii="Calibri" w:hAnsi="Calibri"/>
          <w:b w:val="0"/>
          <w:i/>
          <w:color w:val="5E6B73"/>
          <w:sz w:val="18"/>
        </w:rPr>
        <w:t>Vereinfachtes Modell auf Grundlage der gemessenen Vorgänge in A549- und H460-Zellen.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EAF5F2"/>
          </w:tcPr>
          <w:p>
            <w:pPr>
              <w:spacing w:after="40" w:line="288" w:lineRule="auto"/>
            </w:pPr>
            <w:r>
              <w:rPr>
                <w:rFonts w:ascii="Calibri" w:hAnsi="Calibri"/>
                <w:b/>
                <w:i w:val="0"/>
                <w:color w:val="2B7A78"/>
                <w:sz w:val="22"/>
              </w:rPr>
              <w:t xml:space="preserve">Bei CBG zusätzlich: </w:t>
            </w:r>
            <w:r>
              <w:rPr>
                <w:rFonts w:ascii="Calibri" w:hAnsi="Calibri"/>
                <w:b w:val="0"/>
                <w:i w:val="0"/>
                <w:color w:val="20313D"/>
                <w:sz w:val="22"/>
              </w:rPr>
              <w:t>Die Ergebnisse sprechen dafür, dass der Zellkern-Rezeptor PPARα einen Teil der Wirkung vermittelt. Für CBC blieb der vorgeschaltete Angriffspunkt ungeklärt.</w:t>
            </w:r>
          </w:p>
        </w:tc>
      </w:tr>
    </w:tbl>
    <w:p>
      <w:pPr>
        <w:spacing w:before="0" w:after="40" w:line="300" w:lineRule="auto"/>
      </w:pPr>
      <w:r>
        <w:rPr>
          <w:rFonts w:ascii="Calibri" w:hAnsi="Calibri"/>
          <w:b w:val="0"/>
          <w:i w:val="0"/>
          <w:color w:val="20313D"/>
          <w:sz w:val="22"/>
        </w:rPr>
      </w:r>
    </w:p>
    <w:p>
      <w:r>
        <w:br w:type="page"/>
      </w:r>
    </w:p>
    <w:p>
      <w:pPr>
        <w:pStyle w:val="Heading1"/>
        <w:keepNext/>
      </w:pPr>
      <w:r>
        <w:t>3. Schritt für Schritt erklärt</w:t>
      </w:r>
    </w:p>
    <w:p>
      <w:pPr>
        <w:pStyle w:val="Heading2"/>
        <w:keepNext/>
      </w:pPr>
      <w:r>
        <w:t>Schritt 1: Die Mitochondrien geraten unter Stress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CBG und CBC erhöhten in den Krebszellen mitochondriales Superoxid. Das ist eine reaktive Sauerstoffverbindung. In zu großer Menge kann sie Eiweiße, Membranen und weitere Zellbestandteile schädigen.</w:t>
      </w:r>
    </w:p>
    <w:p>
      <w:pPr>
        <w:pStyle w:val="Heading2"/>
        <w:keepNext/>
      </w:pPr>
      <w:r>
        <w:t>Schritt 2: Die Energiegewinnung wird gestört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Beide Cannabinoide senkten den Sauerstoffverbrauch der Mitochondrien. Das weist auf eine gestörte Zellatmung hin. Bei CBG nahm zusätzlich NDUFB8 ab – ein Bestandteil von Komplex I der mitochondrialen Atmungskette.</w:t>
      </w:r>
    </w:p>
    <w:p>
      <w:pPr>
        <w:pStyle w:val="Heading2"/>
        <w:keepNext/>
      </w:pPr>
      <w:r>
        <w:t>Schritt 3: Die Mitochondrienmembran wird instabil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Das elektrische Membranpotential der Mitochondrien ging verloren. Gleichzeitig trat Cytochrom c aus den Mitochondrien in das Zellinnere aus. Das ist ein wichtiges Startsignal für den mitochondrialen Apoptoseweg.</w:t>
      </w:r>
    </w:p>
    <w:p>
      <w:pPr>
        <w:pStyle w:val="Heading2"/>
        <w:keepNext/>
      </w:pPr>
      <w:r>
        <w:t>Schritt 4: Caspasen zerlegen die Zelle kontrolliert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Aktiviert wurden Caspase-9 sowie die „Ausführungsenzyme“ Caspase-3 und Caspase-7. Auch Caspase-8 wurde aktiviert. Diese Enzyme schneiden gezielt Zellproteine und führen zum geordneten Abbau der Krebszelle.</w:t>
      </w:r>
    </w:p>
    <w:p>
      <w:r>
        <w:br w:type="page"/>
      </w:r>
    </w:p>
    <w:p>
      <w:pPr>
        <w:pStyle w:val="Heading1"/>
        <w:keepNext/>
      </w:pPr>
      <w:r>
        <w:t>4. Welche Rolle könnte PPARα spielen?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PPARα ist ein Rezeptor im Zellkern und zugleich ein Schalter für Gene. Er steuert unter anderem den Fettstoffwechsel, die Energiegewinnung und die Reaktion auf Zellstress.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Als die Forschenden PPARα mit einem Hemmstoff blockierten, wurden der durch CBG ausgelöste Zelltod und die Apoptose abgeschwächt. Daraus schließen sie, dass PPARα an der CBG-Wirkung beteiligt ist.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EDF2F7"/>
          </w:tcPr>
          <w:p>
            <w:pPr>
              <w:spacing w:after="40" w:line="288" w:lineRule="auto"/>
            </w:pPr>
            <w:r>
              <w:rPr>
                <w:rFonts w:ascii="Calibri" w:hAnsi="Calibri"/>
                <w:b/>
                <w:i w:val="0"/>
                <w:color w:val="173B57"/>
                <w:sz w:val="22"/>
              </w:rPr>
              <w:t xml:space="preserve">Wichtige Abgrenzung: </w:t>
            </w:r>
            <w:r>
              <w:rPr>
                <w:rFonts w:ascii="Calibri" w:hAnsi="Calibri"/>
                <w:b w:val="0"/>
                <w:i w:val="0"/>
                <w:color w:val="20313D"/>
                <w:sz w:val="22"/>
              </w:rPr>
              <w:t>CB1, CB2, TRPV1, TRPM8 und PPARγ waren in diesem Versuchsmodell für den durch CBG oder CBC ausgelösten Zelltod nicht erforderlich.</w:t>
            </w:r>
          </w:p>
        </w:tc>
      </w:tr>
    </w:tbl>
    <w:p>
      <w:pPr>
        <w:spacing w:before="0" w:after="40" w:line="300" w:lineRule="auto"/>
      </w:pPr>
      <w:r>
        <w:rPr>
          <w:rFonts w:ascii="Calibri" w:hAnsi="Calibri"/>
          <w:b w:val="0"/>
          <w:i w:val="0"/>
          <w:color w:val="20313D"/>
          <w:sz w:val="22"/>
        </w:rPr>
      </w:r>
    </w:p>
    <w:p>
      <w:pPr>
        <w:pStyle w:val="Heading2"/>
        <w:keepNext/>
      </w:pPr>
      <w:r>
        <w:t>ATF4: ein Stressmelder der Zelle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CBG erhöhte außerdem ATF4. Dieser Transkriptionsfaktor wird bei Energie-, Mitochondrien- oder anderem Zellstress aktiviert. Er kann zunächst Reparatur und Autophagie fördern. Hält die Belastung an, kann die Stressantwort in Apoptose übergehen.</w:t>
      </w:r>
    </w:p>
    <w:p>
      <w:pPr>
        <w:pStyle w:val="Heading2"/>
        <w:keepNext/>
      </w:pPr>
      <w:r>
        <w:t>Und CBC?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CBC verursachte ebenfalls mitochondrialen Stress und Apoptose. Die untersuchten Rezeptoren erklärten seine Wirkung jedoch nicht. Der erste molekulare Angriffspunkt von CBC muss deshalb noch erforscht werden.</w:t>
      </w:r>
    </w:p>
    <w:p>
      <w:r>
        <w:br w:type="page"/>
      </w:r>
    </w:p>
    <w:p>
      <w:pPr>
        <w:pStyle w:val="Heading1"/>
        <w:keepNext/>
      </w:pPr>
      <w:r>
        <w:t>5. Bedeutung für Betroffene</w:t>
      </w:r>
    </w:p>
    <w:p>
      <w:pPr>
        <w:spacing w:before="0" w:after="120" w:line="300" w:lineRule="auto"/>
      </w:pPr>
      <w:r>
        <w:rPr>
          <w:rFonts w:ascii="Calibri" w:hAnsi="Calibri"/>
          <w:b/>
          <w:i w:val="0"/>
          <w:color w:val="20313D"/>
          <w:sz w:val="22"/>
        </w:rPr>
        <w:t>Die Studie liefert einen interessanten biologischen Ansatz, aber noch keinen Wirksamkeitsnachweis bei Menschen.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120" w:type="dxa"/>
              <w:start w:w="140" w:type="dxa"/>
              <w:bottom w:w="120" w:type="dxa"/>
              <w:end w:w="140" w:type="dxa"/>
            </w:tcMar>
            <w:shd w:fill="173B57"/>
            <w:vAlign w:val="center"/>
          </w:tcPr>
          <w:p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Einordnung</w:t>
            </w:r>
          </w:p>
        </w:tc>
        <w:tc>
          <w:tcPr>
            <w:tcW w:type="dxa" w:w="6860"/>
            <w:tcMar>
              <w:top w:w="120" w:type="dxa"/>
              <w:start w:w="140" w:type="dxa"/>
              <w:bottom w:w="120" w:type="dxa"/>
              <w:end w:w="140" w:type="dxa"/>
            </w:tcMar>
            <w:shd w:fill="173B57"/>
            <w:vAlign w:val="center"/>
          </w:tcPr>
          <w:p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Bedeutung</w:t>
            </w:r>
          </w:p>
        </w:tc>
      </w:tr>
      <w:tr>
        <w:tc>
          <w:tcPr>
            <w:tcW w:type="dxa" w:w="2500"/>
            <w:tcMar>
              <w:top w:w="120" w:type="dxa"/>
              <w:start w:w="140" w:type="dxa"/>
              <w:bottom w:w="120" w:type="dxa"/>
              <w:end w:w="140" w:type="dxa"/>
            </w:tcMar>
            <w:shd w:fill="EAF3F8"/>
            <w:vAlign w:val="center"/>
          </w:tcPr>
          <w:p>
            <w:r>
              <w:rPr>
                <w:rFonts w:ascii="Calibri" w:hAnsi="Calibri"/>
                <w:b/>
                <w:i w:val="0"/>
                <w:color w:val="173B57"/>
                <w:sz w:val="21"/>
              </w:rPr>
              <w:t>Gezeigt</w:t>
            </w:r>
          </w:p>
        </w:tc>
        <w:tc>
          <w:tcPr>
            <w:tcW w:type="dxa" w:w="686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20313D"/>
                <w:sz w:val="21"/>
              </w:rPr>
              <w:t>CBG und CBC lösten in zwei Lungenkrebs-Zelllinien im Labor Zeichen von mitochondrialem Stress und programmiertem Zelltod aus.</w:t>
            </w:r>
          </w:p>
        </w:tc>
      </w:tr>
      <w:tr>
        <w:tc>
          <w:tcPr>
            <w:tcW w:type="dxa" w:w="2500"/>
            <w:tcMar>
              <w:top w:w="120" w:type="dxa"/>
              <w:start w:w="140" w:type="dxa"/>
              <w:bottom w:w="120" w:type="dxa"/>
              <w:end w:w="140" w:type="dxa"/>
            </w:tcMar>
            <w:shd w:fill="EAF3F8"/>
            <w:vAlign w:val="center"/>
          </w:tcPr>
          <w:p>
            <w:r>
              <w:rPr>
                <w:rFonts w:ascii="Calibri" w:hAnsi="Calibri"/>
                <w:b/>
                <w:i w:val="0"/>
                <w:color w:val="173B57"/>
                <w:sz w:val="21"/>
              </w:rPr>
              <w:t>Nicht gezeigt</w:t>
            </w:r>
          </w:p>
        </w:tc>
        <w:tc>
          <w:tcPr>
            <w:tcW w:type="dxa" w:w="686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20313D"/>
                <w:sz w:val="21"/>
              </w:rPr>
              <w:t>Keine Behandlung von Menschen, kein Nachweis einer Tumorverkleinerung im Körper und keine geprüfte Patientendosierung.</w:t>
            </w:r>
          </w:p>
        </w:tc>
      </w:tr>
      <w:tr>
        <w:tc>
          <w:tcPr>
            <w:tcW w:type="dxa" w:w="2500"/>
            <w:tcMar>
              <w:top w:w="120" w:type="dxa"/>
              <w:start w:w="140" w:type="dxa"/>
              <w:bottom w:w="120" w:type="dxa"/>
              <w:end w:w="140" w:type="dxa"/>
            </w:tcMar>
            <w:shd w:fill="EAF3F8"/>
            <w:vAlign w:val="center"/>
          </w:tcPr>
          <w:p>
            <w:r>
              <w:rPr>
                <w:rFonts w:ascii="Calibri" w:hAnsi="Calibri"/>
                <w:b/>
                <w:i w:val="0"/>
                <w:color w:val="173B57"/>
                <w:sz w:val="21"/>
              </w:rPr>
              <w:t>Noch offen</w:t>
            </w:r>
          </w:p>
        </w:tc>
        <w:tc>
          <w:tcPr>
            <w:tcW w:type="dxa" w:w="686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20313D"/>
                <w:sz w:val="21"/>
              </w:rPr>
              <w:t>Sicherheit, Aufnahme und Verteilung im Körper, erreichbare Tumorkonzentration, Wirkung auf gesundes Gewebe und Wechselwirkungen mit Krebstherapien.</w:t>
            </w:r>
          </w:p>
        </w:tc>
      </w:tr>
    </w:tbl>
    <w:p>
      <w:pPr>
        <w:spacing w:before="0" w:after="40" w:line="300" w:lineRule="auto"/>
      </w:pPr>
      <w:r>
        <w:rPr>
          <w:rFonts w:ascii="Calibri" w:hAnsi="Calibri"/>
          <w:b w:val="0"/>
          <w:i w:val="0"/>
          <w:color w:val="20313D"/>
          <w:sz w:val="2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DECEC"/>
          </w:tcPr>
          <w:p>
            <w:pPr>
              <w:spacing w:after="40" w:line="288" w:lineRule="auto"/>
            </w:pPr>
            <w:r>
              <w:rPr>
                <w:rFonts w:ascii="Calibri" w:hAnsi="Calibri"/>
                <w:b/>
                <w:i w:val="0"/>
                <w:color w:val="A33A3A"/>
                <w:sz w:val="22"/>
              </w:rPr>
              <w:t xml:space="preserve">Bitte beachten: </w:t>
            </w:r>
            <w:r>
              <w:rPr>
                <w:rFonts w:ascii="Calibri" w:hAnsi="Calibri"/>
                <w:b w:val="0"/>
                <w:i w:val="0"/>
                <w:color w:val="20313D"/>
                <w:sz w:val="22"/>
              </w:rPr>
              <w:t>CBG- oder CBC-Produkte dürfen eine Operation, Bestrahlung, Chemotherapie, Immuntherapie oder zielgerichtete Therapie nicht ersetzen. Auch frei verkäufliche Cannabinoidprodukte können Neben- und Wechselwirkungen haben. Besprechen Sie jede Einnahme mit dem behandelnden Onkologie-Team.</w:t>
            </w:r>
          </w:p>
        </w:tc>
      </w:tr>
    </w:tbl>
    <w:p>
      <w:pPr>
        <w:spacing w:before="0" w:after="40" w:line="300" w:lineRule="auto"/>
      </w:pPr>
      <w:r>
        <w:rPr>
          <w:rFonts w:ascii="Calibri" w:hAnsi="Calibri"/>
          <w:b w:val="0"/>
          <w:i w:val="0"/>
          <w:color w:val="20313D"/>
          <w:sz w:val="22"/>
        </w:rPr>
      </w:r>
    </w:p>
    <w:p>
      <w:pPr>
        <w:spacing w:before="0" w:after="120" w:line="300" w:lineRule="auto"/>
      </w:pPr>
      <w:r>
        <w:rPr>
          <w:rFonts w:ascii="Calibri" w:hAnsi="Calibri"/>
          <w:b/>
          <w:i w:val="0"/>
          <w:color w:val="A33A3A"/>
          <w:sz w:val="22"/>
        </w:rPr>
        <w:t>Cannabis zu rauchen ist keine Krebstherapie. Verbrennungsrauch belastet die Lunge mit Reizstoffen, Feinstaub und krebserregenden Substanzen.</w:t>
      </w:r>
    </w:p>
    <w:p>
      <w:r>
        <w:br w:type="page"/>
      </w:r>
    </w:p>
    <w:p>
      <w:pPr>
        <w:pStyle w:val="Heading1"/>
        <w:keepNext/>
      </w:pPr>
      <w:r>
        <w:t>6. Sinnvolle nächste Forschungsschritte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Vergleich der Wirkung auf Krebszellen und gesunde menschliche Lungenzellen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Untersuchungen an dreidimensionalen Tumororganoiden und Tiermodellen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Prüfung, welche Konzentrationen im Tumorgewebe tatsächlich erreichbar sind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Untersuchung von Kombinationen mit etablierten Krebsmedikamenten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Erfassung von Nebenwirkungen und Arzneimittelwechselwirkungen</w:t>
      </w:r>
    </w:p>
    <w:p>
      <w:pPr>
        <w:pStyle w:val="ListBullet"/>
        <w:spacing w:after="80" w:line="300" w:lineRule="auto"/>
      </w:pPr>
      <w:r>
        <w:rPr>
          <w:rFonts w:ascii="Calibri" w:hAnsi="Calibri"/>
          <w:b w:val="0"/>
          <w:i w:val="0"/>
          <w:color w:val="20313D"/>
          <w:sz w:val="22"/>
        </w:rPr>
        <w:t>Erst danach: sorgfältig geplante klinische Studien mit Patientinnen und Patienten</w:t>
      </w:r>
    </w:p>
    <w:p>
      <w:pPr>
        <w:pStyle w:val="Heading1"/>
        <w:keepNext/>
      </w:pPr>
      <w:r>
        <w:t>Das Wichtigste in einem Satz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EAF5F2"/>
          </w:tcPr>
          <w:p>
            <w:pPr>
              <w:spacing w:after="40" w:line="288" w:lineRule="auto"/>
            </w:pPr>
            <w:r>
              <w:rPr>
                <w:rFonts w:ascii="Calibri" w:hAnsi="Calibri"/>
                <w:b/>
                <w:i w:val="0"/>
                <w:color w:val="2B7A78"/>
                <w:sz w:val="22"/>
              </w:rPr>
              <w:t xml:space="preserve">Fazit: </w:t>
            </w:r>
            <w:r>
              <w:rPr>
                <w:rFonts w:ascii="Calibri" w:hAnsi="Calibri"/>
                <w:b w:val="0"/>
                <w:i w:val="0"/>
                <w:color w:val="20313D"/>
                <w:sz w:val="22"/>
              </w:rPr>
              <w:t>CBG und CBC können in bestimmten Lungenkrebszellen im Labor mitochondriale Schäden und den programmierten Zelltod auslösen; ob daraus eine sichere und wirksame Zusatztherapie für Menschen entstehen kann, ist noch offen.</w:t>
            </w:r>
          </w:p>
        </w:tc>
      </w:tr>
    </w:tbl>
    <w:p>
      <w:pPr>
        <w:spacing w:before="0" w:after="40" w:line="300" w:lineRule="auto"/>
      </w:pPr>
      <w:r>
        <w:rPr>
          <w:rFonts w:ascii="Calibri" w:hAnsi="Calibri"/>
          <w:b w:val="0"/>
          <w:i w:val="0"/>
          <w:color w:val="20313D"/>
          <w:sz w:val="22"/>
        </w:rPr>
      </w:r>
    </w:p>
    <w:p>
      <w:pPr>
        <w:pStyle w:val="Heading1"/>
        <w:keepNext/>
      </w:pPr>
      <w:r>
        <w:t>Quellen und weiterführende Informationen</w:t>
      </w:r>
    </w:p>
    <w:p>
      <w:pPr>
        <w:spacing w:before="0" w:after="80" w:line="300" w:lineRule="auto"/>
      </w:pPr>
      <w:r>
        <w:rPr>
          <w:rFonts w:ascii="Calibri" w:hAnsi="Calibri"/>
          <w:b w:val="0"/>
          <w:i w:val="0"/>
          <w:color w:val="5E6B73"/>
          <w:sz w:val="19"/>
        </w:rPr>
        <w:t>Spengler T, Wittig F, Frank M, Hinz B. Cannabigerol and Cannabichromene Induce Lung Cancer Cell Death and Apoptosis—Contribution of PPARα to Cannabigerol Effects. Antioxidants. 2026;15(6):754. DOI: 10.3390/antiox15060754.</w:t>
      </w:r>
      <w:hyperlink r:id="rId12">
        <w:r>
          <w:rPr>
            <w:color w:val="2E74B5"/>
            <w:u w:val="single"/>
          </w:rPr>
          <w:t xml:space="preserve"> Originalartikel öffnen</w:t>
        </w:r>
      </w:hyperlink>
    </w:p>
    <w:p>
      <w:pPr>
        <w:spacing w:before="0" w:after="80" w:line="300" w:lineRule="auto"/>
      </w:pPr>
      <w:r>
        <w:rPr>
          <w:rFonts w:ascii="Calibri" w:hAnsi="Calibri"/>
          <w:b w:val="0"/>
          <w:i w:val="0"/>
          <w:color w:val="5E6B73"/>
          <w:sz w:val="19"/>
        </w:rPr>
        <w:t>PubMed: PMID 42352060.</w:t>
      </w:r>
      <w:hyperlink r:id="rId13">
        <w:r>
          <w:rPr>
            <w:color w:val="2E74B5"/>
            <w:u w:val="single"/>
          </w:rPr>
          <w:t xml:space="preserve"> PubMed-Eintrag öffnen</w:t>
        </w:r>
      </w:hyperlink>
    </w:p>
    <w:p>
      <w:pPr>
        <w:spacing w:before="0" w:after="80" w:line="300" w:lineRule="auto"/>
      </w:pPr>
      <w:r>
        <w:rPr>
          <w:rFonts w:ascii="Calibri" w:hAnsi="Calibri"/>
          <w:b w:val="0"/>
          <w:i w:val="0"/>
          <w:color w:val="5E6B73"/>
          <w:sz w:val="19"/>
        </w:rPr>
        <w:t>Universitätsmedizin Rostock: frühere Forschung zur Hemmung der Tumorzell-Invasion durch Cannabinoide (2008).</w:t>
      </w:r>
      <w:hyperlink r:id="rId14">
        <w:r>
          <w:rPr>
            <w:color w:val="2E74B5"/>
            <w:u w:val="single"/>
          </w:rPr>
          <w:t xml:space="preserve"> Hintergrund öffnen</w:t>
        </w:r>
      </w:hyperlink>
    </w:p>
    <w:p>
      <w:pPr>
        <w:spacing w:before="160" w:after="120" w:line="300" w:lineRule="auto"/>
      </w:pPr>
      <w:r>
        <w:rPr>
          <w:rFonts w:ascii="Calibri" w:hAnsi="Calibri"/>
          <w:b w:val="0"/>
          <w:i/>
          <w:color w:val="5E6B73"/>
          <w:sz w:val="18"/>
        </w:rPr>
        <w:t>Redaktioneller Hinweis: Die biochemischen Abläufe wurden für Patientinnen und Patienten vereinfacht. Stand der Information: 4. August 2026.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E6B73"/>
        <w:sz w:val="17"/>
      </w:rPr>
      <w:t>Stand: August 2026  •  Information ersetzt keine ärztliche Beratung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5E6B73"/>
        <w:sz w:val="17"/>
      </w:rPr>
      <w:t>PATIENTENINFORMATION  |  CBG, CBC UND LUNGENKREBS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31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3B5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doi.org/10.3390/antiox15060754" TargetMode="External"/><Relationship Id="rId13" Type="http://schemas.openxmlformats.org/officeDocument/2006/relationships/hyperlink" Target="https://pubmed.ncbi.nlm.nih.gov/42352060/" TargetMode="External"/><Relationship Id="rId14" Type="http://schemas.openxmlformats.org/officeDocument/2006/relationships/hyperlink" Target="https://www.med.uni-rostock.de/medien/pressemitteilungen/aktuelles/news/cannabis-gegen-krebs-rostocker-pharmakologen-entdecken-neuen-wirkmechanism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CBG und CBC bei Lungenkrebs – Patientenbroschüre</dc:title>
  <dc:subject>Patientengerechte Einordnung der Rostocker Zellkulturstudie von 2026</dc:subject>
  <dc:creator>Daniel Böhm / erstellt mit ChatGPT Work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