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927D7" w14:textId="77777777" w:rsidR="00DF1186" w:rsidRDefault="00000000">
      <w:pPr>
        <w:pStyle w:val="Titel"/>
      </w:pPr>
      <w:r>
        <w:t>CB1- und CB2-Rezeptoren als therapeutische Ziele</w:t>
      </w:r>
    </w:p>
    <w:p w14:paraId="65FA61CF" w14:textId="77777777" w:rsidR="00DF1186" w:rsidRDefault="00000000">
      <w:r>
        <w:rPr>
          <w:b/>
          <w:color w:val="238A78"/>
          <w:sz w:val="22"/>
        </w:rPr>
        <w:t>Erkrankungen und Symptome – getrennt nach Rezeptor, Modulationsrichtung und Evidenz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5410"/>
      </w:tblGrid>
      <w:tr w:rsidR="00DF1186" w14:paraId="483172F5" w14:textId="77777777">
        <w:trPr>
          <w:jc w:val="center"/>
        </w:trPr>
        <w:tc>
          <w:tcPr>
            <w:tcW w:w="15420" w:type="dxa"/>
            <w:shd w:val="clear" w:color="auto" w:fill="E7F0F7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872208" w14:textId="77777777" w:rsidR="00DF1186" w:rsidRDefault="00000000">
            <w:pPr>
              <w:spacing w:after="0"/>
            </w:pPr>
            <w:r>
              <w:rPr>
                <w:b/>
                <w:sz w:val="18"/>
              </w:rPr>
              <w:t>Wichtig: Die Tabelle beschreibt mögliche therapeutische Beeinflussung – nicht automatisch Heilung. Klinisch belegt ist überwiegend die symptomatische CB1-Wirkung bestimmter THC-Arzneimittel. Selektive CB2-Therapien sind bislang überwiegend experimentell.</w:t>
            </w:r>
          </w:p>
        </w:tc>
      </w:tr>
    </w:tbl>
    <w:p w14:paraId="2C1409FB" w14:textId="77777777" w:rsidR="00DF1186" w:rsidRDefault="00000000">
      <w:pPr>
        <w:pStyle w:val="berschrift1"/>
      </w:pPr>
      <w:r>
        <w:t>Evidenzschlüssel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3851"/>
        <w:gridCol w:w="3853"/>
        <w:gridCol w:w="3853"/>
        <w:gridCol w:w="3853"/>
      </w:tblGrid>
      <w:tr w:rsidR="00DF1186" w14:paraId="4F929A13" w14:textId="77777777">
        <w:trPr>
          <w:jc w:val="center"/>
        </w:trPr>
        <w:tc>
          <w:tcPr>
            <w:tcW w:w="3855" w:type="dxa"/>
            <w:shd w:val="clear" w:color="auto" w:fill="D9EAD3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7CFA805" w14:textId="77777777" w:rsidR="00DF1186" w:rsidRDefault="00000000">
            <w:pPr>
              <w:spacing w:after="0"/>
            </w:pPr>
            <w:r>
              <w:rPr>
                <w:b/>
                <w:color w:val="173B57"/>
              </w:rPr>
              <w:t>Grün</w:t>
            </w:r>
            <w:r>
              <w:rPr>
                <w:b/>
                <w:color w:val="173B57"/>
              </w:rPr>
              <w:br/>
            </w:r>
            <w:r>
              <w:rPr>
                <w:sz w:val="15"/>
              </w:rPr>
              <w:t>klinisch etablierte Anwendung für bestimmte Situationen</w:t>
            </w:r>
          </w:p>
        </w:tc>
        <w:tc>
          <w:tcPr>
            <w:tcW w:w="3855" w:type="dxa"/>
            <w:shd w:val="clear" w:color="auto" w:fill="FFF2CC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46D8662" w14:textId="77777777" w:rsidR="00DF1186" w:rsidRDefault="00000000">
            <w:pPr>
              <w:spacing w:after="0"/>
            </w:pPr>
            <w:r>
              <w:rPr>
                <w:b/>
                <w:color w:val="173B57"/>
              </w:rPr>
              <w:t>Gelb</w:t>
            </w:r>
            <w:r>
              <w:rPr>
                <w:b/>
                <w:color w:val="173B57"/>
              </w:rPr>
              <w:br/>
            </w:r>
            <w:r>
              <w:rPr>
                <w:sz w:val="15"/>
              </w:rPr>
              <w:t>begrenzte oder indikationsabhängige klinische Evidenz</w:t>
            </w:r>
          </w:p>
        </w:tc>
        <w:tc>
          <w:tcPr>
            <w:tcW w:w="3855" w:type="dxa"/>
            <w:shd w:val="clear" w:color="auto" w:fill="FCE5CD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8C92AC7" w14:textId="77777777" w:rsidR="00DF1186" w:rsidRDefault="00000000">
            <w:pPr>
              <w:spacing w:after="0"/>
            </w:pPr>
            <w:r>
              <w:rPr>
                <w:b/>
                <w:color w:val="173B57"/>
              </w:rPr>
              <w:t>Orange</w:t>
            </w:r>
            <w:r>
              <w:rPr>
                <w:b/>
                <w:color w:val="173B57"/>
              </w:rPr>
              <w:br/>
            </w:r>
            <w:r>
              <w:rPr>
                <w:sz w:val="15"/>
              </w:rPr>
              <w:t>präklinischer bzw. früher translationaler Forschungsansatz</w:t>
            </w:r>
          </w:p>
        </w:tc>
        <w:tc>
          <w:tcPr>
            <w:tcW w:w="3855" w:type="dxa"/>
            <w:shd w:val="clear" w:color="auto" w:fill="E6E6E6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87AF194" w14:textId="77777777" w:rsidR="00DF1186" w:rsidRDefault="00000000">
            <w:pPr>
              <w:spacing w:after="0"/>
            </w:pPr>
            <w:r>
              <w:rPr>
                <w:b/>
                <w:color w:val="173B57"/>
              </w:rPr>
              <w:t>Grau</w:t>
            </w:r>
            <w:r>
              <w:rPr>
                <w:b/>
                <w:color w:val="173B57"/>
              </w:rPr>
              <w:br/>
            </w:r>
            <w:r>
              <w:rPr>
                <w:sz w:val="15"/>
              </w:rPr>
              <w:t>biologischer Effekt ohne geeignete Standardtherapie</w:t>
            </w:r>
          </w:p>
        </w:tc>
      </w:tr>
    </w:tbl>
    <w:p w14:paraId="462DA68A" w14:textId="77777777" w:rsidR="00DF1186" w:rsidRDefault="00000000">
      <w:r>
        <w:br w:type="page"/>
      </w:r>
    </w:p>
    <w:p w14:paraId="605ADB97" w14:textId="77777777" w:rsidR="00DF1186" w:rsidRDefault="00000000">
      <w:pPr>
        <w:pStyle w:val="berschrift1"/>
      </w:pPr>
      <w:r>
        <w:lastRenderedPageBreak/>
        <w:t>Gesamttabelle</w:t>
      </w: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31"/>
        <w:gridCol w:w="2324"/>
        <w:gridCol w:w="1417"/>
        <w:gridCol w:w="1928"/>
        <w:gridCol w:w="3118"/>
        <w:gridCol w:w="1984"/>
        <w:gridCol w:w="3402"/>
      </w:tblGrid>
      <w:tr w:rsidR="00DF1186" w14:paraId="597DC0DC" w14:textId="77777777">
        <w:trPr>
          <w:tblHeader/>
          <w:jc w:val="center"/>
        </w:trPr>
        <w:tc>
          <w:tcPr>
            <w:tcW w:w="1531" w:type="dxa"/>
            <w:shd w:val="clear" w:color="auto" w:fill="173B5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A7196F" w14:textId="77777777" w:rsidR="00DF118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Bereich</w:t>
            </w:r>
          </w:p>
        </w:tc>
        <w:tc>
          <w:tcPr>
            <w:tcW w:w="2324" w:type="dxa"/>
            <w:shd w:val="clear" w:color="auto" w:fill="173B5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D87682D" w14:textId="77777777" w:rsidR="00DF118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Erkrankung / Symptom</w:t>
            </w:r>
          </w:p>
        </w:tc>
        <w:tc>
          <w:tcPr>
            <w:tcW w:w="1417" w:type="dxa"/>
            <w:shd w:val="clear" w:color="auto" w:fill="173B5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B470AC" w14:textId="77777777" w:rsidR="00DF118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Rezeptorziel</w:t>
            </w:r>
          </w:p>
        </w:tc>
        <w:tc>
          <w:tcPr>
            <w:tcW w:w="1928" w:type="dxa"/>
            <w:shd w:val="clear" w:color="auto" w:fill="173B5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B5346A8" w14:textId="77777777" w:rsidR="00DF118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gewünschte Modulation</w:t>
            </w:r>
          </w:p>
        </w:tc>
        <w:tc>
          <w:tcPr>
            <w:tcW w:w="3118" w:type="dxa"/>
            <w:shd w:val="clear" w:color="auto" w:fill="173B5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CA8282" w14:textId="77777777" w:rsidR="00DF118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biologische Begründung</w:t>
            </w:r>
          </w:p>
        </w:tc>
        <w:tc>
          <w:tcPr>
            <w:tcW w:w="1984" w:type="dxa"/>
            <w:shd w:val="clear" w:color="auto" w:fill="173B5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FD8926" w14:textId="77777777" w:rsidR="00DF118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Evidenzlage</w:t>
            </w:r>
          </w:p>
        </w:tc>
        <w:tc>
          <w:tcPr>
            <w:tcW w:w="3402" w:type="dxa"/>
            <w:shd w:val="clear" w:color="auto" w:fill="173B5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833B11" w14:textId="77777777" w:rsidR="00DF118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klinische Einordnung</w:t>
            </w:r>
          </w:p>
        </w:tc>
      </w:tr>
      <w:tr w:rsidR="00DF1186" w14:paraId="52AFA453" w14:textId="77777777">
        <w:trPr>
          <w:cantSplit/>
          <w:jc w:val="center"/>
        </w:trPr>
        <w:tc>
          <w:tcPr>
            <w:tcW w:w="1531" w:type="dxa"/>
            <w:shd w:val="clear" w:color="auto" w:fill="EEE9F5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485C8EEA" w14:textId="77777777" w:rsidR="00DF1186" w:rsidRDefault="00000000">
            <w:pPr>
              <w:spacing w:after="0"/>
            </w:pPr>
            <w:r>
              <w:rPr>
                <w:b/>
                <w:sz w:val="13"/>
              </w:rPr>
              <w:t>Therapie / Symptomkontrolle</w:t>
            </w:r>
          </w:p>
        </w:tc>
        <w:tc>
          <w:tcPr>
            <w:tcW w:w="2324" w:type="dxa"/>
            <w:shd w:val="clear" w:color="auto" w:fill="E7F0F7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21E37C6E" w14:textId="77777777" w:rsidR="00DF1186" w:rsidRDefault="00000000">
            <w:pPr>
              <w:spacing w:after="0"/>
            </w:pPr>
            <w:r>
              <w:rPr>
                <w:b/>
                <w:sz w:val="14"/>
              </w:rPr>
              <w:t>Chemotherapiebedingte Übelkeit und Erbrechen</w:t>
            </w:r>
          </w:p>
        </w:tc>
        <w:tc>
          <w:tcPr>
            <w:tcW w:w="1417" w:type="dxa"/>
            <w:shd w:val="clear" w:color="auto" w:fill="2E68A0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2F293E23" w14:textId="77777777" w:rsidR="00DF118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CB1</w:t>
            </w:r>
          </w:p>
        </w:tc>
        <w:tc>
          <w:tcPr>
            <w:tcW w:w="1928" w:type="dxa"/>
            <w:shd w:val="clear" w:color="auto" w:fill="FFFFF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5C4184B4" w14:textId="77777777" w:rsidR="00DF1186" w:rsidRDefault="00000000">
            <w:pPr>
              <w:spacing w:after="0"/>
            </w:pPr>
            <w:r>
              <w:rPr>
                <w:sz w:val="13"/>
              </w:rPr>
              <w:t>Aktivierung</w:t>
            </w:r>
          </w:p>
        </w:tc>
        <w:tc>
          <w:tcPr>
            <w:tcW w:w="3118" w:type="dxa"/>
            <w:shd w:val="clear" w:color="auto" w:fill="FFFFF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588CCBE0" w14:textId="77777777" w:rsidR="00DF1186" w:rsidRDefault="00000000">
            <w:pPr>
              <w:spacing w:after="0"/>
            </w:pPr>
            <w:r>
              <w:rPr>
                <w:sz w:val="13"/>
              </w:rPr>
              <w:t>Hemmung von Brechreiz und Übelkeit über zentrale neuronale Schaltkreise.</w:t>
            </w:r>
          </w:p>
        </w:tc>
        <w:tc>
          <w:tcPr>
            <w:tcW w:w="1984" w:type="dxa"/>
            <w:shd w:val="clear" w:color="auto" w:fill="D9EAD3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2C762C17" w14:textId="77777777" w:rsidR="00DF1186" w:rsidRDefault="00000000">
            <w:pPr>
              <w:spacing w:after="0"/>
              <w:jc w:val="center"/>
            </w:pPr>
            <w:r>
              <w:rPr>
                <w:b/>
                <w:sz w:val="13"/>
              </w:rPr>
              <w:t>klinisch etabliert als Reserveoption</w:t>
            </w:r>
          </w:p>
        </w:tc>
        <w:tc>
          <w:tcPr>
            <w:tcW w:w="3402" w:type="dxa"/>
            <w:shd w:val="clear" w:color="auto" w:fill="FFFFF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4C862E6B" w14:textId="77777777" w:rsidR="00DF1186" w:rsidRDefault="00000000">
            <w:pPr>
              <w:spacing w:after="0"/>
            </w:pPr>
            <w:r>
              <w:rPr>
                <w:sz w:val="13"/>
              </w:rPr>
              <w:t>Dronabinol/Nabilon können je nach Land und Situation eingesetzt werden; symptomatisch, keine Behandlung der Krebserkrankung.</w:t>
            </w:r>
          </w:p>
        </w:tc>
      </w:tr>
      <w:tr w:rsidR="00DF1186" w14:paraId="78D8818C" w14:textId="77777777">
        <w:trPr>
          <w:cantSplit/>
          <w:jc w:val="center"/>
        </w:trPr>
        <w:tc>
          <w:tcPr>
            <w:tcW w:w="1531" w:type="dxa"/>
            <w:shd w:val="clear" w:color="auto" w:fill="EEE9F5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373FDBBF" w14:textId="77777777" w:rsidR="00DF1186" w:rsidRDefault="00000000">
            <w:pPr>
              <w:spacing w:after="0"/>
            </w:pPr>
            <w:r>
              <w:rPr>
                <w:b/>
                <w:sz w:val="13"/>
              </w:rPr>
              <w:t>Therapie / Symptomkontrolle</w:t>
            </w:r>
          </w:p>
        </w:tc>
        <w:tc>
          <w:tcPr>
            <w:tcW w:w="2324" w:type="dxa"/>
            <w:shd w:val="clear" w:color="auto" w:fill="E5F3E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27DDEED4" w14:textId="77777777" w:rsidR="00DF1186" w:rsidRDefault="00000000">
            <w:pPr>
              <w:spacing w:after="0"/>
            </w:pPr>
            <w:r>
              <w:rPr>
                <w:b/>
                <w:sz w:val="14"/>
              </w:rPr>
              <w:t>Spastik bei Multipler Sklerose</w:t>
            </w:r>
          </w:p>
        </w:tc>
        <w:tc>
          <w:tcPr>
            <w:tcW w:w="1417" w:type="dxa"/>
            <w:shd w:val="clear" w:color="auto" w:fill="2E68A0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081FF696" w14:textId="77777777" w:rsidR="00DF118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CB1 &gt; CB2</w:t>
            </w:r>
          </w:p>
        </w:tc>
        <w:tc>
          <w:tcPr>
            <w:tcW w:w="1928" w:type="dxa"/>
            <w:shd w:val="clear" w:color="auto" w:fill="F1F3F4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4D439B7A" w14:textId="77777777" w:rsidR="00DF1186" w:rsidRDefault="00000000">
            <w:pPr>
              <w:spacing w:after="0"/>
            </w:pPr>
            <w:r>
              <w:rPr>
                <w:sz w:val="13"/>
              </w:rPr>
              <w:t>Aktivierung / Modulation</w:t>
            </w:r>
          </w:p>
        </w:tc>
        <w:tc>
          <w:tcPr>
            <w:tcW w:w="3118" w:type="dxa"/>
            <w:shd w:val="clear" w:color="auto" w:fill="F1F3F4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35B07FFF" w14:textId="77777777" w:rsidR="00DF1186" w:rsidRDefault="00000000">
            <w:pPr>
              <w:spacing w:after="0"/>
            </w:pPr>
            <w:r>
              <w:rPr>
                <w:sz w:val="13"/>
              </w:rPr>
              <w:t>Dämpfung übererregter motorischer Netzwerke; THC wirkt vor allem über CB1.</w:t>
            </w:r>
          </w:p>
        </w:tc>
        <w:tc>
          <w:tcPr>
            <w:tcW w:w="1984" w:type="dxa"/>
            <w:shd w:val="clear" w:color="auto" w:fill="FFF2CC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4F2B29F6" w14:textId="77777777" w:rsidR="00DF1186" w:rsidRDefault="00000000">
            <w:pPr>
              <w:spacing w:after="0"/>
              <w:jc w:val="center"/>
            </w:pPr>
            <w:r>
              <w:rPr>
                <w:b/>
                <w:sz w:val="13"/>
              </w:rPr>
              <w:t>klinische Anwendung mit Einschränkungen</w:t>
            </w:r>
          </w:p>
        </w:tc>
        <w:tc>
          <w:tcPr>
            <w:tcW w:w="3402" w:type="dxa"/>
            <w:shd w:val="clear" w:color="auto" w:fill="F1F3F4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45F5916B" w14:textId="77777777" w:rsidR="00DF1186" w:rsidRDefault="00000000">
            <w:pPr>
              <w:spacing w:after="0"/>
            </w:pPr>
            <w:r>
              <w:rPr>
                <w:sz w:val="13"/>
              </w:rPr>
              <w:t>THC:CBD-Spray kann bei ausgewählten Patientinnen und Patienten die Spastiksymptomatik lindern; nicht krankheitsheilend.</w:t>
            </w:r>
          </w:p>
        </w:tc>
      </w:tr>
      <w:tr w:rsidR="00DF1186" w14:paraId="29901E74" w14:textId="77777777">
        <w:trPr>
          <w:cantSplit/>
          <w:jc w:val="center"/>
        </w:trPr>
        <w:tc>
          <w:tcPr>
            <w:tcW w:w="1531" w:type="dxa"/>
            <w:shd w:val="clear" w:color="auto" w:fill="EEE9F5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24EEC33C" w14:textId="77777777" w:rsidR="00DF1186" w:rsidRDefault="00000000">
            <w:pPr>
              <w:spacing w:after="0"/>
            </w:pPr>
            <w:r>
              <w:rPr>
                <w:b/>
                <w:sz w:val="13"/>
              </w:rPr>
              <w:t>Therapie / Symptomkontrolle</w:t>
            </w:r>
          </w:p>
        </w:tc>
        <w:tc>
          <w:tcPr>
            <w:tcW w:w="2324" w:type="dxa"/>
            <w:shd w:val="clear" w:color="auto" w:fill="E7F0F7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76C49382" w14:textId="77777777" w:rsidR="00DF1186" w:rsidRDefault="00000000">
            <w:pPr>
              <w:spacing w:after="0"/>
            </w:pPr>
            <w:r>
              <w:rPr>
                <w:b/>
                <w:sz w:val="14"/>
              </w:rPr>
              <w:t>Appetitverlust bei AIDS / ausgewählter Kachexie</w:t>
            </w:r>
          </w:p>
        </w:tc>
        <w:tc>
          <w:tcPr>
            <w:tcW w:w="1417" w:type="dxa"/>
            <w:shd w:val="clear" w:color="auto" w:fill="2E68A0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6E5BE3B3" w14:textId="77777777" w:rsidR="00DF118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CB1</w:t>
            </w:r>
          </w:p>
        </w:tc>
        <w:tc>
          <w:tcPr>
            <w:tcW w:w="1928" w:type="dxa"/>
            <w:shd w:val="clear" w:color="auto" w:fill="FFFFF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563B456F" w14:textId="77777777" w:rsidR="00DF1186" w:rsidRDefault="00000000">
            <w:pPr>
              <w:spacing w:after="0"/>
            </w:pPr>
            <w:r>
              <w:rPr>
                <w:sz w:val="13"/>
              </w:rPr>
              <w:t>Aktivierung</w:t>
            </w:r>
          </w:p>
        </w:tc>
        <w:tc>
          <w:tcPr>
            <w:tcW w:w="3118" w:type="dxa"/>
            <w:shd w:val="clear" w:color="auto" w:fill="FFFFF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3AE39375" w14:textId="77777777" w:rsidR="00DF1186" w:rsidRDefault="00000000">
            <w:pPr>
              <w:spacing w:after="0"/>
            </w:pPr>
            <w:r>
              <w:rPr>
                <w:sz w:val="13"/>
              </w:rPr>
              <w:t>Steigerung von Appetit und Nahrungsaufnahme über hypothalamische und belohnungsbezogene Signalwege.</w:t>
            </w:r>
          </w:p>
        </w:tc>
        <w:tc>
          <w:tcPr>
            <w:tcW w:w="1984" w:type="dxa"/>
            <w:shd w:val="clear" w:color="auto" w:fill="D9EAD3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479CCB11" w14:textId="77777777" w:rsidR="00DF1186" w:rsidRDefault="00000000">
            <w:pPr>
              <w:spacing w:after="0"/>
              <w:jc w:val="center"/>
            </w:pPr>
            <w:r>
              <w:rPr>
                <w:b/>
                <w:sz w:val="13"/>
              </w:rPr>
              <w:t>klinisch etabliert für bestimmte Indikationen</w:t>
            </w:r>
          </w:p>
        </w:tc>
        <w:tc>
          <w:tcPr>
            <w:tcW w:w="3402" w:type="dxa"/>
            <w:shd w:val="clear" w:color="auto" w:fill="FFFFF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652723AA" w14:textId="77777777" w:rsidR="00DF1186" w:rsidRDefault="00000000">
            <w:pPr>
              <w:spacing w:after="0"/>
            </w:pPr>
            <w:r>
              <w:rPr>
                <w:sz w:val="13"/>
              </w:rPr>
              <w:t>Dronabinol ist in einigen Ländern für AIDS-bedingte Anorexie zugelassen; Nutzen bei Tumorkachexie uneinheitlich.</w:t>
            </w:r>
          </w:p>
        </w:tc>
      </w:tr>
      <w:tr w:rsidR="00DF1186" w14:paraId="3DBCD214" w14:textId="77777777">
        <w:trPr>
          <w:cantSplit/>
          <w:jc w:val="center"/>
        </w:trPr>
        <w:tc>
          <w:tcPr>
            <w:tcW w:w="1531" w:type="dxa"/>
            <w:shd w:val="clear" w:color="auto" w:fill="EEE9F5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18ED1EFC" w14:textId="77777777" w:rsidR="00DF1186" w:rsidRDefault="00000000">
            <w:pPr>
              <w:spacing w:after="0"/>
            </w:pPr>
            <w:r>
              <w:rPr>
                <w:b/>
                <w:sz w:val="13"/>
              </w:rPr>
              <w:t>Therapie / Symptomkontrolle</w:t>
            </w:r>
          </w:p>
        </w:tc>
        <w:tc>
          <w:tcPr>
            <w:tcW w:w="2324" w:type="dxa"/>
            <w:shd w:val="clear" w:color="auto" w:fill="E5F3E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5BCA7107" w14:textId="77777777" w:rsidR="00DF1186" w:rsidRDefault="00000000">
            <w:pPr>
              <w:spacing w:after="0"/>
            </w:pPr>
            <w:r>
              <w:rPr>
                <w:b/>
                <w:sz w:val="14"/>
              </w:rPr>
              <w:t>Chronischer neuropathischer Schmerz</w:t>
            </w:r>
          </w:p>
        </w:tc>
        <w:tc>
          <w:tcPr>
            <w:tcW w:w="1417" w:type="dxa"/>
            <w:shd w:val="clear" w:color="auto" w:fill="76559A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005EFE53" w14:textId="77777777" w:rsidR="00DF118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CB1 + CB2</w:t>
            </w:r>
          </w:p>
        </w:tc>
        <w:tc>
          <w:tcPr>
            <w:tcW w:w="1928" w:type="dxa"/>
            <w:shd w:val="clear" w:color="auto" w:fill="F1F3F4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574F7564" w14:textId="77777777" w:rsidR="00DF1186" w:rsidRDefault="00000000">
            <w:pPr>
              <w:spacing w:after="0"/>
            </w:pPr>
            <w:r>
              <w:rPr>
                <w:sz w:val="13"/>
              </w:rPr>
              <w:t>CB1-Aktivierung; CB2-Aktivierung als Forschungsziel</w:t>
            </w:r>
          </w:p>
        </w:tc>
        <w:tc>
          <w:tcPr>
            <w:tcW w:w="3118" w:type="dxa"/>
            <w:shd w:val="clear" w:color="auto" w:fill="F1F3F4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1E5762DC" w14:textId="77777777" w:rsidR="00DF1186" w:rsidRDefault="00000000">
            <w:pPr>
              <w:spacing w:after="0"/>
            </w:pPr>
            <w:r>
              <w:rPr>
                <w:sz w:val="13"/>
              </w:rPr>
              <w:t>CB1 verändert nozizeptive Signalübertragung; CB2 könnte Neuroinflammation und Immunaktivierung dämpfen.</w:t>
            </w:r>
          </w:p>
        </w:tc>
        <w:tc>
          <w:tcPr>
            <w:tcW w:w="1984" w:type="dxa"/>
            <w:shd w:val="clear" w:color="auto" w:fill="FFF2CC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19785882" w14:textId="77777777" w:rsidR="00DF1186" w:rsidRDefault="00000000">
            <w:pPr>
              <w:spacing w:after="0"/>
              <w:jc w:val="center"/>
            </w:pPr>
            <w:r>
              <w:rPr>
                <w:b/>
                <w:sz w:val="13"/>
              </w:rPr>
              <w:t>begrenzt / heterogen</w:t>
            </w:r>
          </w:p>
        </w:tc>
        <w:tc>
          <w:tcPr>
            <w:tcW w:w="3402" w:type="dxa"/>
            <w:shd w:val="clear" w:color="auto" w:fill="F1F3F4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38E82AC0" w14:textId="77777777" w:rsidR="00DF1186" w:rsidRDefault="00000000">
            <w:pPr>
              <w:spacing w:after="0"/>
            </w:pPr>
            <w:r>
              <w:rPr>
                <w:sz w:val="13"/>
              </w:rPr>
              <w:t>Cannabinoidpräparate zeigen im Mittel nur kleine bis mäßige Effekte; selektive CB2-Agonisten sind klinisch nicht etabliert.</w:t>
            </w:r>
          </w:p>
        </w:tc>
      </w:tr>
      <w:tr w:rsidR="00DF1186" w14:paraId="238D3C3E" w14:textId="77777777">
        <w:trPr>
          <w:cantSplit/>
          <w:jc w:val="center"/>
        </w:trPr>
        <w:tc>
          <w:tcPr>
            <w:tcW w:w="1531" w:type="dxa"/>
            <w:shd w:val="clear" w:color="auto" w:fill="EEE9F5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0FD42A4D" w14:textId="77777777" w:rsidR="00DF1186" w:rsidRDefault="00000000">
            <w:pPr>
              <w:spacing w:after="0"/>
            </w:pPr>
            <w:r>
              <w:rPr>
                <w:b/>
                <w:sz w:val="13"/>
              </w:rPr>
              <w:t>Therapie / Symptomkontrolle</w:t>
            </w:r>
          </w:p>
        </w:tc>
        <w:tc>
          <w:tcPr>
            <w:tcW w:w="2324" w:type="dxa"/>
            <w:shd w:val="clear" w:color="auto" w:fill="E7F0F7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59678810" w14:textId="77777777" w:rsidR="00DF1186" w:rsidRDefault="00000000">
            <w:pPr>
              <w:spacing w:after="0"/>
            </w:pPr>
            <w:r>
              <w:rPr>
                <w:b/>
                <w:sz w:val="14"/>
              </w:rPr>
              <w:t>Tumor- und palliativmedizinischer Schmerz</w:t>
            </w:r>
          </w:p>
        </w:tc>
        <w:tc>
          <w:tcPr>
            <w:tcW w:w="1417" w:type="dxa"/>
            <w:shd w:val="clear" w:color="auto" w:fill="76559A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73DBC193" w14:textId="77777777" w:rsidR="00DF118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CB1 + CB2</w:t>
            </w:r>
          </w:p>
        </w:tc>
        <w:tc>
          <w:tcPr>
            <w:tcW w:w="1928" w:type="dxa"/>
            <w:shd w:val="clear" w:color="auto" w:fill="FFFFF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509E1698" w14:textId="77777777" w:rsidR="00DF1186" w:rsidRDefault="00000000">
            <w:pPr>
              <w:spacing w:after="0"/>
            </w:pPr>
            <w:r>
              <w:rPr>
                <w:sz w:val="13"/>
              </w:rPr>
              <w:t>Aktivierung</w:t>
            </w:r>
          </w:p>
        </w:tc>
        <w:tc>
          <w:tcPr>
            <w:tcW w:w="3118" w:type="dxa"/>
            <w:shd w:val="clear" w:color="auto" w:fill="FFFFF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5BD5982A" w14:textId="77777777" w:rsidR="00DF1186" w:rsidRDefault="00000000">
            <w:pPr>
              <w:spacing w:after="0"/>
            </w:pPr>
            <w:r>
              <w:rPr>
                <w:sz w:val="13"/>
              </w:rPr>
              <w:t>Neuronale Schmerzdämpfung über CB1; mögliche immunologische Mitwirkung von CB2.</w:t>
            </w:r>
          </w:p>
        </w:tc>
        <w:tc>
          <w:tcPr>
            <w:tcW w:w="1984" w:type="dxa"/>
            <w:shd w:val="clear" w:color="auto" w:fill="FFF2CC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2C3B6005" w14:textId="77777777" w:rsidR="00DF1186" w:rsidRDefault="00000000">
            <w:pPr>
              <w:spacing w:after="0"/>
              <w:jc w:val="center"/>
            </w:pPr>
            <w:r>
              <w:rPr>
                <w:b/>
                <w:sz w:val="13"/>
              </w:rPr>
              <w:t>begrenzt / Zusatztherapie</w:t>
            </w:r>
          </w:p>
        </w:tc>
        <w:tc>
          <w:tcPr>
            <w:tcW w:w="3402" w:type="dxa"/>
            <w:shd w:val="clear" w:color="auto" w:fill="FFFFF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7CDF74B5" w14:textId="77777777" w:rsidR="00DF1186" w:rsidRDefault="00000000">
            <w:pPr>
              <w:spacing w:after="0"/>
            </w:pPr>
            <w:r>
              <w:rPr>
                <w:sz w:val="13"/>
              </w:rPr>
              <w:t>Allenfalls ergänzende Symptomtherapie; ersetzt keine leitliniengerechte Analgesie oder Tumortherapie.</w:t>
            </w:r>
          </w:p>
        </w:tc>
      </w:tr>
      <w:tr w:rsidR="00DF1186" w14:paraId="09D24A39" w14:textId="77777777">
        <w:trPr>
          <w:cantSplit/>
          <w:jc w:val="center"/>
        </w:trPr>
        <w:tc>
          <w:tcPr>
            <w:tcW w:w="1531" w:type="dxa"/>
            <w:shd w:val="clear" w:color="auto" w:fill="EEE9F5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7C4CCCFE" w14:textId="77777777" w:rsidR="00DF1186" w:rsidRDefault="00000000">
            <w:pPr>
              <w:spacing w:after="0"/>
            </w:pPr>
            <w:r>
              <w:rPr>
                <w:b/>
                <w:sz w:val="13"/>
              </w:rPr>
              <w:t>Entzündung / Autoimmunität</w:t>
            </w:r>
          </w:p>
        </w:tc>
        <w:tc>
          <w:tcPr>
            <w:tcW w:w="2324" w:type="dxa"/>
            <w:shd w:val="clear" w:color="auto" w:fill="E5F3E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29612E80" w14:textId="77777777" w:rsidR="00DF1186" w:rsidRDefault="00000000">
            <w:pPr>
              <w:spacing w:after="0"/>
            </w:pPr>
            <w:r>
              <w:rPr>
                <w:b/>
                <w:sz w:val="14"/>
              </w:rPr>
              <w:t>Chronisch-entzündliche Darmerkrankungen</w:t>
            </w:r>
          </w:p>
        </w:tc>
        <w:tc>
          <w:tcPr>
            <w:tcW w:w="1417" w:type="dxa"/>
            <w:shd w:val="clear" w:color="auto" w:fill="76559A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1041B2A7" w14:textId="77777777" w:rsidR="00DF118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vor allem CB2; peripheres CB1</w:t>
            </w:r>
          </w:p>
        </w:tc>
        <w:tc>
          <w:tcPr>
            <w:tcW w:w="1928" w:type="dxa"/>
            <w:shd w:val="clear" w:color="auto" w:fill="F1F3F4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436F7574" w14:textId="77777777" w:rsidR="00DF1186" w:rsidRDefault="00000000">
            <w:pPr>
              <w:spacing w:after="0"/>
            </w:pPr>
            <w:r>
              <w:rPr>
                <w:sz w:val="13"/>
              </w:rPr>
              <w:t>CB2-Aktivierung; ggf. periphere CB1-Modulation</w:t>
            </w:r>
          </w:p>
        </w:tc>
        <w:tc>
          <w:tcPr>
            <w:tcW w:w="3118" w:type="dxa"/>
            <w:shd w:val="clear" w:color="auto" w:fill="F1F3F4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25F9B33E" w14:textId="77777777" w:rsidR="00DF1186" w:rsidRDefault="00000000">
            <w:pPr>
              <w:spacing w:after="0"/>
            </w:pPr>
            <w:r>
              <w:rPr>
                <w:sz w:val="13"/>
              </w:rPr>
              <w:t>CB2 kann aktivierte Immunzellen und Entzündungsmediatoren beeinflussen; Rezeptorexpression steigt im entzündeten Darm.</w:t>
            </w:r>
          </w:p>
        </w:tc>
        <w:tc>
          <w:tcPr>
            <w:tcW w:w="1984" w:type="dxa"/>
            <w:shd w:val="clear" w:color="auto" w:fill="FCE5CD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775E0BAA" w14:textId="77777777" w:rsidR="00DF1186" w:rsidRDefault="00000000">
            <w:pPr>
              <w:spacing w:after="0"/>
              <w:jc w:val="center"/>
            </w:pPr>
            <w:r>
              <w:rPr>
                <w:b/>
                <w:sz w:val="13"/>
              </w:rPr>
              <w:t>präklinisch / frühe klinische Daten</w:t>
            </w:r>
          </w:p>
        </w:tc>
        <w:tc>
          <w:tcPr>
            <w:tcW w:w="3402" w:type="dxa"/>
            <w:shd w:val="clear" w:color="auto" w:fill="F1F3F4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6DF27729" w14:textId="77777777" w:rsidR="00DF1186" w:rsidRDefault="00000000">
            <w:pPr>
              <w:spacing w:after="0"/>
            </w:pPr>
            <w:r>
              <w:rPr>
                <w:sz w:val="13"/>
              </w:rPr>
              <w:t>Symptome können sich unter Cannabis verändern, eine zuverlässige Senkung der Krankheitsaktivität durch gezielte Rezeptortherapie ist nicht belegt.</w:t>
            </w:r>
          </w:p>
        </w:tc>
      </w:tr>
      <w:tr w:rsidR="00DF1186" w14:paraId="0D38DC1C" w14:textId="77777777">
        <w:trPr>
          <w:cantSplit/>
          <w:jc w:val="center"/>
        </w:trPr>
        <w:tc>
          <w:tcPr>
            <w:tcW w:w="1531" w:type="dxa"/>
            <w:shd w:val="clear" w:color="auto" w:fill="EEE9F5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63761697" w14:textId="77777777" w:rsidR="00DF1186" w:rsidRDefault="00000000">
            <w:pPr>
              <w:spacing w:after="0"/>
            </w:pPr>
            <w:r>
              <w:rPr>
                <w:b/>
                <w:sz w:val="13"/>
              </w:rPr>
              <w:t>Entzündung / Autoimmunität</w:t>
            </w:r>
          </w:p>
        </w:tc>
        <w:tc>
          <w:tcPr>
            <w:tcW w:w="2324" w:type="dxa"/>
            <w:shd w:val="clear" w:color="auto" w:fill="E7F0F7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444D8D4D" w14:textId="77777777" w:rsidR="00DF1186" w:rsidRDefault="00000000">
            <w:pPr>
              <w:spacing w:after="0"/>
            </w:pPr>
            <w:r>
              <w:rPr>
                <w:b/>
                <w:sz w:val="14"/>
              </w:rPr>
              <w:t>Rheumatoide Arthritis</w:t>
            </w:r>
          </w:p>
        </w:tc>
        <w:tc>
          <w:tcPr>
            <w:tcW w:w="1417" w:type="dxa"/>
            <w:shd w:val="clear" w:color="auto" w:fill="238A78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6E3292C5" w14:textId="77777777" w:rsidR="00DF118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CB2</w:t>
            </w:r>
          </w:p>
        </w:tc>
        <w:tc>
          <w:tcPr>
            <w:tcW w:w="1928" w:type="dxa"/>
            <w:shd w:val="clear" w:color="auto" w:fill="FFFFF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25357A91" w14:textId="77777777" w:rsidR="00DF1186" w:rsidRDefault="00000000">
            <w:pPr>
              <w:spacing w:after="0"/>
            </w:pPr>
            <w:r>
              <w:rPr>
                <w:sz w:val="13"/>
              </w:rPr>
              <w:t>Aktivierung</w:t>
            </w:r>
          </w:p>
        </w:tc>
        <w:tc>
          <w:tcPr>
            <w:tcW w:w="3118" w:type="dxa"/>
            <w:shd w:val="clear" w:color="auto" w:fill="FFFFF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0FABCED7" w14:textId="77777777" w:rsidR="00DF1186" w:rsidRDefault="00000000">
            <w:pPr>
              <w:spacing w:after="0"/>
            </w:pPr>
            <w:r>
              <w:rPr>
                <w:sz w:val="13"/>
              </w:rPr>
              <w:t>Dämpfung von Synovialmakrophagen, Zytokinen und entzündlicher Schmerzverstärkung.</w:t>
            </w:r>
          </w:p>
        </w:tc>
        <w:tc>
          <w:tcPr>
            <w:tcW w:w="1984" w:type="dxa"/>
            <w:shd w:val="clear" w:color="auto" w:fill="FCE5CD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4D2AD07E" w14:textId="77777777" w:rsidR="00DF1186" w:rsidRDefault="00000000">
            <w:pPr>
              <w:spacing w:after="0"/>
              <w:jc w:val="center"/>
            </w:pPr>
            <w:r>
              <w:rPr>
                <w:b/>
                <w:sz w:val="13"/>
              </w:rPr>
              <w:t>überwiegend präklinisch</w:t>
            </w:r>
          </w:p>
        </w:tc>
        <w:tc>
          <w:tcPr>
            <w:tcW w:w="3402" w:type="dxa"/>
            <w:shd w:val="clear" w:color="auto" w:fill="FFFFF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7E8D4910" w14:textId="77777777" w:rsidR="00DF1186" w:rsidRDefault="00000000">
            <w:pPr>
              <w:spacing w:after="0"/>
            </w:pPr>
            <w:r>
              <w:rPr>
                <w:sz w:val="13"/>
              </w:rPr>
              <w:t>Keine zugelassene selektive CB2-Therapie; keine Alternative zu krankheitsmodifizierenden Antirheumatika.</w:t>
            </w:r>
          </w:p>
        </w:tc>
      </w:tr>
      <w:tr w:rsidR="00DF1186" w14:paraId="0BF0278B" w14:textId="77777777">
        <w:trPr>
          <w:cantSplit/>
          <w:jc w:val="center"/>
        </w:trPr>
        <w:tc>
          <w:tcPr>
            <w:tcW w:w="1531" w:type="dxa"/>
            <w:shd w:val="clear" w:color="auto" w:fill="EEE9F5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5960C3DC" w14:textId="77777777" w:rsidR="00DF1186" w:rsidRDefault="00000000">
            <w:pPr>
              <w:spacing w:after="0"/>
            </w:pPr>
            <w:r>
              <w:rPr>
                <w:b/>
                <w:sz w:val="13"/>
              </w:rPr>
              <w:t>Entzündung / Autoimmunität</w:t>
            </w:r>
          </w:p>
        </w:tc>
        <w:tc>
          <w:tcPr>
            <w:tcW w:w="2324" w:type="dxa"/>
            <w:shd w:val="clear" w:color="auto" w:fill="E5F3E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7046B6C5" w14:textId="77777777" w:rsidR="00DF1186" w:rsidRDefault="00000000">
            <w:pPr>
              <w:spacing w:after="0"/>
            </w:pPr>
            <w:r>
              <w:rPr>
                <w:b/>
                <w:sz w:val="14"/>
              </w:rPr>
              <w:t>Arthrose / Gelenkentzündung</w:t>
            </w:r>
          </w:p>
        </w:tc>
        <w:tc>
          <w:tcPr>
            <w:tcW w:w="1417" w:type="dxa"/>
            <w:shd w:val="clear" w:color="auto" w:fill="76559A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63DE9A53" w14:textId="77777777" w:rsidR="00DF118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CB2; zusätzlich CB1 bei Schmerz</w:t>
            </w:r>
          </w:p>
        </w:tc>
        <w:tc>
          <w:tcPr>
            <w:tcW w:w="1928" w:type="dxa"/>
            <w:shd w:val="clear" w:color="auto" w:fill="F1F3F4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6DD35E9B" w14:textId="77777777" w:rsidR="00DF1186" w:rsidRDefault="00000000">
            <w:pPr>
              <w:spacing w:after="0"/>
            </w:pPr>
            <w:r>
              <w:rPr>
                <w:sz w:val="13"/>
              </w:rPr>
              <w:t>CB2-Aktivierung; CB1-Aktivierung symptomatisch</w:t>
            </w:r>
          </w:p>
        </w:tc>
        <w:tc>
          <w:tcPr>
            <w:tcW w:w="3118" w:type="dxa"/>
            <w:shd w:val="clear" w:color="auto" w:fill="F1F3F4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60E15532" w14:textId="77777777" w:rsidR="00DF1186" w:rsidRDefault="00000000">
            <w:pPr>
              <w:spacing w:after="0"/>
            </w:pPr>
            <w:r>
              <w:rPr>
                <w:sz w:val="13"/>
              </w:rPr>
              <w:t>CB2 als Ziel für lokale Entzündung; CB1 für nozizeptive Verarbeitung.</w:t>
            </w:r>
          </w:p>
        </w:tc>
        <w:tc>
          <w:tcPr>
            <w:tcW w:w="1984" w:type="dxa"/>
            <w:shd w:val="clear" w:color="auto" w:fill="FCE5CD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3F8E46CA" w14:textId="77777777" w:rsidR="00DF1186" w:rsidRDefault="00000000">
            <w:pPr>
              <w:spacing w:after="0"/>
              <w:jc w:val="center"/>
            </w:pPr>
            <w:r>
              <w:rPr>
                <w:b/>
                <w:sz w:val="13"/>
              </w:rPr>
              <w:t>präklinisch / klinisch unzureichend</w:t>
            </w:r>
          </w:p>
        </w:tc>
        <w:tc>
          <w:tcPr>
            <w:tcW w:w="3402" w:type="dxa"/>
            <w:shd w:val="clear" w:color="auto" w:fill="F1F3F4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503E953D" w14:textId="77777777" w:rsidR="00DF1186" w:rsidRDefault="00000000">
            <w:pPr>
              <w:spacing w:after="0"/>
            </w:pPr>
            <w:r>
              <w:rPr>
                <w:sz w:val="13"/>
              </w:rPr>
              <w:t>Mögliche Schmerzreduktion ist von einer strukturerhaltenden Arthrosetherapie zu trennen.</w:t>
            </w:r>
          </w:p>
        </w:tc>
      </w:tr>
      <w:tr w:rsidR="00DF1186" w14:paraId="2A949861" w14:textId="77777777">
        <w:trPr>
          <w:cantSplit/>
          <w:jc w:val="center"/>
        </w:trPr>
        <w:tc>
          <w:tcPr>
            <w:tcW w:w="1531" w:type="dxa"/>
            <w:shd w:val="clear" w:color="auto" w:fill="EEE9F5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1729C5EE" w14:textId="77777777" w:rsidR="00DF1186" w:rsidRDefault="00000000">
            <w:pPr>
              <w:spacing w:after="0"/>
            </w:pPr>
            <w:r>
              <w:rPr>
                <w:b/>
                <w:sz w:val="13"/>
              </w:rPr>
              <w:t>Entzündung / Autoimmunität</w:t>
            </w:r>
          </w:p>
        </w:tc>
        <w:tc>
          <w:tcPr>
            <w:tcW w:w="2324" w:type="dxa"/>
            <w:shd w:val="clear" w:color="auto" w:fill="E7F0F7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389B0B69" w14:textId="77777777" w:rsidR="00DF1186" w:rsidRDefault="00000000">
            <w:pPr>
              <w:spacing w:after="0"/>
            </w:pPr>
            <w:r>
              <w:rPr>
                <w:b/>
                <w:sz w:val="14"/>
              </w:rPr>
              <w:t>Entzündliche Hauterkrankungen</w:t>
            </w:r>
          </w:p>
        </w:tc>
        <w:tc>
          <w:tcPr>
            <w:tcW w:w="1417" w:type="dxa"/>
            <w:shd w:val="clear" w:color="auto" w:fill="76559A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2F118DB8" w14:textId="77777777" w:rsidR="00DF118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CB2 bzw. zelltypspezifisch CB1/CB2</w:t>
            </w:r>
          </w:p>
        </w:tc>
        <w:tc>
          <w:tcPr>
            <w:tcW w:w="1928" w:type="dxa"/>
            <w:shd w:val="clear" w:color="auto" w:fill="FFFFF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4F7685C3" w14:textId="77777777" w:rsidR="00DF1186" w:rsidRDefault="00000000">
            <w:pPr>
              <w:spacing w:after="0"/>
            </w:pPr>
            <w:r>
              <w:rPr>
                <w:sz w:val="13"/>
              </w:rPr>
              <w:t>lokale Modulation, häufig CB2-Aktivierung untersucht</w:t>
            </w:r>
          </w:p>
        </w:tc>
        <w:tc>
          <w:tcPr>
            <w:tcW w:w="3118" w:type="dxa"/>
            <w:shd w:val="clear" w:color="auto" w:fill="FFFFF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10F67358" w14:textId="77777777" w:rsidR="00DF1186" w:rsidRDefault="00000000">
            <w:pPr>
              <w:spacing w:after="0"/>
            </w:pPr>
            <w:r>
              <w:rPr>
                <w:sz w:val="13"/>
              </w:rPr>
              <w:t>Beeinflussung von Immunzellen, Keratinozyten, Juckreiz und Entzündungsmediatoren.</w:t>
            </w:r>
          </w:p>
        </w:tc>
        <w:tc>
          <w:tcPr>
            <w:tcW w:w="1984" w:type="dxa"/>
            <w:shd w:val="clear" w:color="auto" w:fill="FCE5CD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59B3A0DA" w14:textId="77777777" w:rsidR="00DF1186" w:rsidRDefault="00000000">
            <w:pPr>
              <w:spacing w:after="0"/>
              <w:jc w:val="center"/>
            </w:pPr>
            <w:r>
              <w:rPr>
                <w:b/>
                <w:sz w:val="13"/>
              </w:rPr>
              <w:t>präklinisch / frühe topische Forschung</w:t>
            </w:r>
          </w:p>
        </w:tc>
        <w:tc>
          <w:tcPr>
            <w:tcW w:w="3402" w:type="dxa"/>
            <w:shd w:val="clear" w:color="auto" w:fill="FFFFF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5B2EB9A3" w14:textId="77777777" w:rsidR="00DF1186" w:rsidRDefault="00000000">
            <w:pPr>
              <w:spacing w:after="0"/>
            </w:pPr>
            <w:r>
              <w:rPr>
                <w:sz w:val="13"/>
              </w:rPr>
              <w:t>Je nach Erkrankung verschieden; keine pauschale Empfehlung für Ekzem, Psoriasis oder Akne.</w:t>
            </w:r>
          </w:p>
        </w:tc>
      </w:tr>
      <w:tr w:rsidR="00DF1186" w14:paraId="4D6E3903" w14:textId="77777777">
        <w:trPr>
          <w:cantSplit/>
          <w:jc w:val="center"/>
        </w:trPr>
        <w:tc>
          <w:tcPr>
            <w:tcW w:w="1531" w:type="dxa"/>
            <w:shd w:val="clear" w:color="auto" w:fill="EEE9F5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21A685E0" w14:textId="77777777" w:rsidR="00DF1186" w:rsidRDefault="00000000">
            <w:pPr>
              <w:spacing w:after="0"/>
            </w:pPr>
            <w:r>
              <w:rPr>
                <w:b/>
                <w:sz w:val="13"/>
              </w:rPr>
              <w:t>Knochen / Regeneration</w:t>
            </w:r>
          </w:p>
        </w:tc>
        <w:tc>
          <w:tcPr>
            <w:tcW w:w="2324" w:type="dxa"/>
            <w:shd w:val="clear" w:color="auto" w:fill="E5F3E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0C6AA48A" w14:textId="77777777" w:rsidR="00DF1186" w:rsidRDefault="00000000">
            <w:pPr>
              <w:spacing w:after="0"/>
            </w:pPr>
            <w:r>
              <w:rPr>
                <w:b/>
                <w:sz w:val="14"/>
              </w:rPr>
              <w:t>Osteoporose und Frakturheilung</w:t>
            </w:r>
          </w:p>
        </w:tc>
        <w:tc>
          <w:tcPr>
            <w:tcW w:w="1417" w:type="dxa"/>
            <w:shd w:val="clear" w:color="auto" w:fill="238A78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72370484" w14:textId="77777777" w:rsidR="00DF118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CB2</w:t>
            </w:r>
          </w:p>
        </w:tc>
        <w:tc>
          <w:tcPr>
            <w:tcW w:w="1928" w:type="dxa"/>
            <w:shd w:val="clear" w:color="auto" w:fill="F1F3F4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43B5399C" w14:textId="77777777" w:rsidR="00DF1186" w:rsidRDefault="00000000">
            <w:pPr>
              <w:spacing w:after="0"/>
            </w:pPr>
            <w:r>
              <w:rPr>
                <w:sz w:val="13"/>
              </w:rPr>
              <w:t>Aktivierung / fein dosierte Modulation</w:t>
            </w:r>
          </w:p>
        </w:tc>
        <w:tc>
          <w:tcPr>
            <w:tcW w:w="3118" w:type="dxa"/>
            <w:shd w:val="clear" w:color="auto" w:fill="F1F3F4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1A6FE0AD" w14:textId="77777777" w:rsidR="00DF1186" w:rsidRDefault="00000000">
            <w:pPr>
              <w:spacing w:after="0"/>
            </w:pPr>
            <w:r>
              <w:rPr>
                <w:sz w:val="13"/>
              </w:rPr>
              <w:t>Regulation von Osteoblasten, Osteoklasten und Knochenumbau; CB2 ist im Knochen funktionell bedeutsam.</w:t>
            </w:r>
          </w:p>
        </w:tc>
        <w:tc>
          <w:tcPr>
            <w:tcW w:w="1984" w:type="dxa"/>
            <w:shd w:val="clear" w:color="auto" w:fill="FCE5CD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510B1FDE" w14:textId="77777777" w:rsidR="00DF1186" w:rsidRDefault="00000000">
            <w:pPr>
              <w:spacing w:after="0"/>
              <w:jc w:val="center"/>
            </w:pPr>
            <w:r>
              <w:rPr>
                <w:b/>
                <w:sz w:val="13"/>
              </w:rPr>
              <w:t>präklinisch</w:t>
            </w:r>
          </w:p>
        </w:tc>
        <w:tc>
          <w:tcPr>
            <w:tcW w:w="3402" w:type="dxa"/>
            <w:shd w:val="clear" w:color="auto" w:fill="F1F3F4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32D26B61" w14:textId="77777777" w:rsidR="00DF1186" w:rsidRDefault="00000000">
            <w:pPr>
              <w:spacing w:after="0"/>
            </w:pPr>
            <w:r>
              <w:rPr>
                <w:sz w:val="13"/>
              </w:rPr>
              <w:t>Keine zugelassene CB2-Therapie zur Osteoporose oder Frakturheilung; Wirkungen sind phasen- und zellabhängig.</w:t>
            </w:r>
          </w:p>
        </w:tc>
      </w:tr>
      <w:tr w:rsidR="00DF1186" w14:paraId="092E9578" w14:textId="77777777">
        <w:trPr>
          <w:cantSplit/>
          <w:jc w:val="center"/>
        </w:trPr>
        <w:tc>
          <w:tcPr>
            <w:tcW w:w="1531" w:type="dxa"/>
            <w:shd w:val="clear" w:color="auto" w:fill="EEE9F5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188DFA97" w14:textId="77777777" w:rsidR="00DF1186" w:rsidRDefault="00000000">
            <w:pPr>
              <w:spacing w:after="0"/>
            </w:pPr>
            <w:r>
              <w:rPr>
                <w:b/>
                <w:sz w:val="13"/>
              </w:rPr>
              <w:t>Stoffwechsel / Organe</w:t>
            </w:r>
          </w:p>
        </w:tc>
        <w:tc>
          <w:tcPr>
            <w:tcW w:w="2324" w:type="dxa"/>
            <w:shd w:val="clear" w:color="auto" w:fill="E7F0F7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19D325CF" w14:textId="77777777" w:rsidR="00DF1186" w:rsidRDefault="00000000">
            <w:pPr>
              <w:spacing w:after="0"/>
            </w:pPr>
            <w:r>
              <w:rPr>
                <w:b/>
                <w:sz w:val="14"/>
              </w:rPr>
              <w:t>Adipositas und metabolisches Syndrom</w:t>
            </w:r>
          </w:p>
        </w:tc>
        <w:tc>
          <w:tcPr>
            <w:tcW w:w="1417" w:type="dxa"/>
            <w:shd w:val="clear" w:color="auto" w:fill="2E68A0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545E3D75" w14:textId="77777777" w:rsidR="00DF118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CB1</w:t>
            </w:r>
          </w:p>
        </w:tc>
        <w:tc>
          <w:tcPr>
            <w:tcW w:w="1928" w:type="dxa"/>
            <w:shd w:val="clear" w:color="auto" w:fill="FFFFF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3E688161" w14:textId="77777777" w:rsidR="00DF1186" w:rsidRDefault="00000000">
            <w:pPr>
              <w:spacing w:after="0"/>
            </w:pPr>
            <w:r>
              <w:rPr>
                <w:sz w:val="13"/>
              </w:rPr>
              <w:t>Blockade – bevorzugt peripher</w:t>
            </w:r>
          </w:p>
        </w:tc>
        <w:tc>
          <w:tcPr>
            <w:tcW w:w="3118" w:type="dxa"/>
            <w:shd w:val="clear" w:color="auto" w:fill="FFFFF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4A3831D7" w14:textId="77777777" w:rsidR="00DF1186" w:rsidRDefault="00000000">
            <w:pPr>
              <w:spacing w:after="0"/>
            </w:pPr>
            <w:r>
              <w:rPr>
                <w:sz w:val="13"/>
              </w:rPr>
              <w:t>Verringerung von Appetit- und lipogenen CB1-Signalen in Gehirn, Leber und Fettgewebe.</w:t>
            </w:r>
          </w:p>
        </w:tc>
        <w:tc>
          <w:tcPr>
            <w:tcW w:w="1984" w:type="dxa"/>
            <w:shd w:val="clear" w:color="auto" w:fill="FFF2CC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68DCE982" w14:textId="77777777" w:rsidR="00DF1186" w:rsidRDefault="00000000">
            <w:pPr>
              <w:spacing w:after="0"/>
              <w:jc w:val="center"/>
            </w:pPr>
            <w:r>
              <w:rPr>
                <w:b/>
                <w:sz w:val="13"/>
              </w:rPr>
              <w:t>Wirksamkeitsnachweis, aber Sicherheitsproblem</w:t>
            </w:r>
          </w:p>
        </w:tc>
        <w:tc>
          <w:tcPr>
            <w:tcW w:w="3402" w:type="dxa"/>
            <w:shd w:val="clear" w:color="auto" w:fill="FFFFF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7DF70959" w14:textId="77777777" w:rsidR="00DF1186" w:rsidRDefault="00000000">
            <w:pPr>
              <w:spacing w:after="0"/>
            </w:pPr>
            <w:r>
              <w:rPr>
                <w:sz w:val="13"/>
              </w:rPr>
              <w:t>Zentral wirksames Rimonabant wurde wegen psychiatrischer Risiken vom Markt genommen; periphere CB1-Blocker sind Forschungsansätze.</w:t>
            </w:r>
          </w:p>
        </w:tc>
      </w:tr>
      <w:tr w:rsidR="00DF1186" w14:paraId="11F1D1CF" w14:textId="77777777">
        <w:trPr>
          <w:cantSplit/>
          <w:jc w:val="center"/>
        </w:trPr>
        <w:tc>
          <w:tcPr>
            <w:tcW w:w="1531" w:type="dxa"/>
            <w:shd w:val="clear" w:color="auto" w:fill="EEE9F5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5B28D311" w14:textId="77777777" w:rsidR="00DF1186" w:rsidRDefault="00000000">
            <w:pPr>
              <w:spacing w:after="0"/>
            </w:pPr>
            <w:r>
              <w:rPr>
                <w:b/>
                <w:sz w:val="13"/>
              </w:rPr>
              <w:t>Stoffwechsel / Organe</w:t>
            </w:r>
          </w:p>
        </w:tc>
        <w:tc>
          <w:tcPr>
            <w:tcW w:w="2324" w:type="dxa"/>
            <w:shd w:val="clear" w:color="auto" w:fill="E5F3E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48360F0A" w14:textId="77777777" w:rsidR="00DF1186" w:rsidRDefault="00000000">
            <w:pPr>
              <w:spacing w:after="0"/>
            </w:pPr>
            <w:r>
              <w:rPr>
                <w:b/>
                <w:sz w:val="14"/>
              </w:rPr>
              <w:t>Fettleber / NASH / Leberfibrose</w:t>
            </w:r>
          </w:p>
        </w:tc>
        <w:tc>
          <w:tcPr>
            <w:tcW w:w="1417" w:type="dxa"/>
            <w:shd w:val="clear" w:color="auto" w:fill="76559A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5CEBC0A2" w14:textId="77777777" w:rsidR="00DF118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CB1 + CB2</w:t>
            </w:r>
          </w:p>
        </w:tc>
        <w:tc>
          <w:tcPr>
            <w:tcW w:w="1928" w:type="dxa"/>
            <w:shd w:val="clear" w:color="auto" w:fill="F1F3F4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5B49E410" w14:textId="77777777" w:rsidR="00DF1186" w:rsidRDefault="00000000">
            <w:pPr>
              <w:spacing w:after="0"/>
            </w:pPr>
            <w:r>
              <w:rPr>
                <w:sz w:val="13"/>
              </w:rPr>
              <w:t>CB1-Blockade + CB2-Aktivierung</w:t>
            </w:r>
          </w:p>
        </w:tc>
        <w:tc>
          <w:tcPr>
            <w:tcW w:w="3118" w:type="dxa"/>
            <w:shd w:val="clear" w:color="auto" w:fill="F1F3F4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3CBF1227" w14:textId="77777777" w:rsidR="00DF1186" w:rsidRDefault="00000000">
            <w:pPr>
              <w:spacing w:after="0"/>
            </w:pPr>
            <w:r>
              <w:rPr>
                <w:sz w:val="13"/>
              </w:rPr>
              <w:t>CB1 kann Steatose und Fibrose fördern; CB2 kann in Immun- und Myofibroblastenzellen antifibrotische Antworten unterstützen.</w:t>
            </w:r>
          </w:p>
        </w:tc>
        <w:tc>
          <w:tcPr>
            <w:tcW w:w="1984" w:type="dxa"/>
            <w:shd w:val="clear" w:color="auto" w:fill="FCE5CD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092841EE" w14:textId="77777777" w:rsidR="00DF1186" w:rsidRDefault="00000000">
            <w:pPr>
              <w:spacing w:after="0"/>
              <w:jc w:val="center"/>
            </w:pPr>
            <w:r>
              <w:rPr>
                <w:b/>
                <w:sz w:val="13"/>
              </w:rPr>
              <w:t>präklinisch / translational</w:t>
            </w:r>
          </w:p>
        </w:tc>
        <w:tc>
          <w:tcPr>
            <w:tcW w:w="3402" w:type="dxa"/>
            <w:shd w:val="clear" w:color="auto" w:fill="F1F3F4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6876002E" w14:textId="77777777" w:rsidR="00DF1186" w:rsidRDefault="00000000">
            <w:pPr>
              <w:spacing w:after="0"/>
            </w:pPr>
            <w:r>
              <w:rPr>
                <w:sz w:val="13"/>
              </w:rPr>
              <w:t>Beide Rezeptoren steigen bei Lebererkrankung; keine etablierte rezeptorselektive Standardtherapie.</w:t>
            </w:r>
          </w:p>
        </w:tc>
      </w:tr>
      <w:tr w:rsidR="00DF1186" w14:paraId="7A9483F7" w14:textId="77777777">
        <w:trPr>
          <w:cantSplit/>
          <w:jc w:val="center"/>
        </w:trPr>
        <w:tc>
          <w:tcPr>
            <w:tcW w:w="1531" w:type="dxa"/>
            <w:shd w:val="clear" w:color="auto" w:fill="EEE9F5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050AB7A9" w14:textId="77777777" w:rsidR="00DF1186" w:rsidRDefault="00000000">
            <w:pPr>
              <w:spacing w:after="0"/>
            </w:pPr>
            <w:r>
              <w:rPr>
                <w:b/>
                <w:sz w:val="13"/>
              </w:rPr>
              <w:t>Stoffwechsel / Organe</w:t>
            </w:r>
          </w:p>
        </w:tc>
        <w:tc>
          <w:tcPr>
            <w:tcW w:w="2324" w:type="dxa"/>
            <w:shd w:val="clear" w:color="auto" w:fill="E7F0F7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0734907C" w14:textId="77777777" w:rsidR="00DF1186" w:rsidRDefault="00000000">
            <w:pPr>
              <w:spacing w:after="0"/>
            </w:pPr>
            <w:r>
              <w:rPr>
                <w:b/>
                <w:sz w:val="14"/>
              </w:rPr>
              <w:t>Diabetische Nierenerkrankung / Nierenfibrose</w:t>
            </w:r>
          </w:p>
        </w:tc>
        <w:tc>
          <w:tcPr>
            <w:tcW w:w="1417" w:type="dxa"/>
            <w:shd w:val="clear" w:color="auto" w:fill="76559A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0697A078" w14:textId="77777777" w:rsidR="00DF118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CB1 + CB2</w:t>
            </w:r>
          </w:p>
        </w:tc>
        <w:tc>
          <w:tcPr>
            <w:tcW w:w="1928" w:type="dxa"/>
            <w:shd w:val="clear" w:color="auto" w:fill="FFFFF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01F3D0A6" w14:textId="77777777" w:rsidR="00DF1186" w:rsidRDefault="00000000">
            <w:pPr>
              <w:spacing w:after="0"/>
            </w:pPr>
            <w:r>
              <w:rPr>
                <w:sz w:val="13"/>
              </w:rPr>
              <w:t>CB1-Blockade + CB2-Aktivierung</w:t>
            </w:r>
          </w:p>
        </w:tc>
        <w:tc>
          <w:tcPr>
            <w:tcW w:w="3118" w:type="dxa"/>
            <w:shd w:val="clear" w:color="auto" w:fill="FFFFF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01981480" w14:textId="77777777" w:rsidR="00DF1186" w:rsidRDefault="00000000">
            <w:pPr>
              <w:spacing w:after="0"/>
            </w:pPr>
            <w:r>
              <w:rPr>
                <w:sz w:val="13"/>
              </w:rPr>
              <w:t>CB1 wird mit metabolischer und fibrotischer Belastung verbunden; CB2 mit Entzündungsbegrenzung und Reparatur.</w:t>
            </w:r>
          </w:p>
        </w:tc>
        <w:tc>
          <w:tcPr>
            <w:tcW w:w="1984" w:type="dxa"/>
            <w:shd w:val="clear" w:color="auto" w:fill="FCE5CD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42571BB7" w14:textId="77777777" w:rsidR="00DF1186" w:rsidRDefault="00000000">
            <w:pPr>
              <w:spacing w:after="0"/>
              <w:jc w:val="center"/>
            </w:pPr>
            <w:r>
              <w:rPr>
                <w:b/>
                <w:sz w:val="13"/>
              </w:rPr>
              <w:t>überwiegend präklinisch</w:t>
            </w:r>
          </w:p>
        </w:tc>
        <w:tc>
          <w:tcPr>
            <w:tcW w:w="3402" w:type="dxa"/>
            <w:shd w:val="clear" w:color="auto" w:fill="FFFFF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22CF0236" w14:textId="77777777" w:rsidR="00DF1186" w:rsidRDefault="00000000">
            <w:pPr>
              <w:spacing w:after="0"/>
            </w:pPr>
            <w:r>
              <w:rPr>
                <w:sz w:val="13"/>
              </w:rPr>
              <w:t>Nicht als Ersatz für Blutdruck-, Glukose- und nephrologische Standardtherapie.</w:t>
            </w:r>
          </w:p>
        </w:tc>
      </w:tr>
      <w:tr w:rsidR="00DF1186" w14:paraId="10BA01B5" w14:textId="77777777">
        <w:trPr>
          <w:cantSplit/>
          <w:jc w:val="center"/>
        </w:trPr>
        <w:tc>
          <w:tcPr>
            <w:tcW w:w="1531" w:type="dxa"/>
            <w:shd w:val="clear" w:color="auto" w:fill="EEE9F5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2E979D55" w14:textId="77777777" w:rsidR="00DF1186" w:rsidRDefault="00000000">
            <w:pPr>
              <w:spacing w:after="0"/>
            </w:pPr>
            <w:r>
              <w:rPr>
                <w:b/>
                <w:sz w:val="13"/>
              </w:rPr>
              <w:t>Herz / Gefäße</w:t>
            </w:r>
          </w:p>
        </w:tc>
        <w:tc>
          <w:tcPr>
            <w:tcW w:w="2324" w:type="dxa"/>
            <w:shd w:val="clear" w:color="auto" w:fill="E5F3E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097B9070" w14:textId="77777777" w:rsidR="00DF1186" w:rsidRDefault="00000000">
            <w:pPr>
              <w:spacing w:after="0"/>
            </w:pPr>
            <w:r>
              <w:rPr>
                <w:b/>
                <w:sz w:val="14"/>
              </w:rPr>
              <w:t>Atherosklerose und Gefäßentzündung</w:t>
            </w:r>
          </w:p>
        </w:tc>
        <w:tc>
          <w:tcPr>
            <w:tcW w:w="1417" w:type="dxa"/>
            <w:shd w:val="clear" w:color="auto" w:fill="238A78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6460C1E5" w14:textId="77777777" w:rsidR="00DF118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vor allem CB2</w:t>
            </w:r>
          </w:p>
        </w:tc>
        <w:tc>
          <w:tcPr>
            <w:tcW w:w="1928" w:type="dxa"/>
            <w:shd w:val="clear" w:color="auto" w:fill="F1F3F4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6EFB6AA5" w14:textId="77777777" w:rsidR="00DF1186" w:rsidRDefault="00000000">
            <w:pPr>
              <w:spacing w:after="0"/>
            </w:pPr>
            <w:r>
              <w:rPr>
                <w:sz w:val="13"/>
              </w:rPr>
              <w:t>Aktivierung</w:t>
            </w:r>
          </w:p>
        </w:tc>
        <w:tc>
          <w:tcPr>
            <w:tcW w:w="3118" w:type="dxa"/>
            <w:shd w:val="clear" w:color="auto" w:fill="F1F3F4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3E3730D4" w14:textId="77777777" w:rsidR="00DF1186" w:rsidRDefault="00000000">
            <w:pPr>
              <w:spacing w:after="0"/>
            </w:pPr>
            <w:r>
              <w:rPr>
                <w:sz w:val="13"/>
              </w:rPr>
              <w:t>CB2 auf Plaque-Makrophagen könnte Entzündung und Immunzellaktivität begrenzen.</w:t>
            </w:r>
          </w:p>
        </w:tc>
        <w:tc>
          <w:tcPr>
            <w:tcW w:w="1984" w:type="dxa"/>
            <w:shd w:val="clear" w:color="auto" w:fill="FCE5CD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66591CA4" w14:textId="77777777" w:rsidR="00DF1186" w:rsidRDefault="00000000">
            <w:pPr>
              <w:spacing w:after="0"/>
              <w:jc w:val="center"/>
            </w:pPr>
            <w:r>
              <w:rPr>
                <w:b/>
                <w:sz w:val="13"/>
              </w:rPr>
              <w:t>präklinisch</w:t>
            </w:r>
          </w:p>
        </w:tc>
        <w:tc>
          <w:tcPr>
            <w:tcW w:w="3402" w:type="dxa"/>
            <w:shd w:val="clear" w:color="auto" w:fill="F1F3F4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03ACA170" w14:textId="77777777" w:rsidR="00DF1186" w:rsidRDefault="00000000">
            <w:pPr>
              <w:spacing w:after="0"/>
            </w:pPr>
            <w:r>
              <w:rPr>
                <w:sz w:val="13"/>
              </w:rPr>
              <w:t>Keine zugelassene CB2-Therapie zur Prävention von Herzinfarkt oder Schlaganfall.</w:t>
            </w:r>
          </w:p>
        </w:tc>
      </w:tr>
      <w:tr w:rsidR="00DF1186" w14:paraId="6C343CCA" w14:textId="77777777">
        <w:trPr>
          <w:cantSplit/>
          <w:jc w:val="center"/>
        </w:trPr>
        <w:tc>
          <w:tcPr>
            <w:tcW w:w="1531" w:type="dxa"/>
            <w:shd w:val="clear" w:color="auto" w:fill="EEE9F5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4AE04330" w14:textId="77777777" w:rsidR="00DF1186" w:rsidRDefault="00000000">
            <w:pPr>
              <w:spacing w:after="0"/>
            </w:pPr>
            <w:r>
              <w:rPr>
                <w:b/>
                <w:sz w:val="13"/>
              </w:rPr>
              <w:t>Herz / Gefäße</w:t>
            </w:r>
          </w:p>
        </w:tc>
        <w:tc>
          <w:tcPr>
            <w:tcW w:w="2324" w:type="dxa"/>
            <w:shd w:val="clear" w:color="auto" w:fill="E7F0F7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187E5864" w14:textId="77777777" w:rsidR="00DF1186" w:rsidRDefault="00000000">
            <w:pPr>
              <w:spacing w:after="0"/>
            </w:pPr>
            <w:r>
              <w:rPr>
                <w:b/>
                <w:sz w:val="14"/>
              </w:rPr>
              <w:t>Herzinfarkt / Ischämie-Reperfusionsschaden</w:t>
            </w:r>
          </w:p>
        </w:tc>
        <w:tc>
          <w:tcPr>
            <w:tcW w:w="1417" w:type="dxa"/>
            <w:shd w:val="clear" w:color="auto" w:fill="238A78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4211A089" w14:textId="77777777" w:rsidR="00DF118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CB2</w:t>
            </w:r>
          </w:p>
        </w:tc>
        <w:tc>
          <w:tcPr>
            <w:tcW w:w="1928" w:type="dxa"/>
            <w:shd w:val="clear" w:color="auto" w:fill="FFFFF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3948880E" w14:textId="77777777" w:rsidR="00DF1186" w:rsidRDefault="00000000">
            <w:pPr>
              <w:spacing w:after="0"/>
            </w:pPr>
            <w:r>
              <w:rPr>
                <w:sz w:val="13"/>
              </w:rPr>
              <w:t>Aktivierung</w:t>
            </w:r>
          </w:p>
        </w:tc>
        <w:tc>
          <w:tcPr>
            <w:tcW w:w="3118" w:type="dxa"/>
            <w:shd w:val="clear" w:color="auto" w:fill="FFFFF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2E984439" w14:textId="77777777" w:rsidR="00DF1186" w:rsidRDefault="00000000">
            <w:pPr>
              <w:spacing w:after="0"/>
            </w:pPr>
            <w:r>
              <w:rPr>
                <w:sz w:val="13"/>
              </w:rPr>
              <w:t>Mögliche Begrenzung von Entzündungsreaktion, oxidativem Stress und Folgeschaden.</w:t>
            </w:r>
          </w:p>
        </w:tc>
        <w:tc>
          <w:tcPr>
            <w:tcW w:w="1984" w:type="dxa"/>
            <w:shd w:val="clear" w:color="auto" w:fill="FCE5CD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227E0EF5" w14:textId="77777777" w:rsidR="00DF1186" w:rsidRDefault="00000000">
            <w:pPr>
              <w:spacing w:after="0"/>
              <w:jc w:val="center"/>
            </w:pPr>
            <w:r>
              <w:rPr>
                <w:b/>
                <w:sz w:val="13"/>
              </w:rPr>
              <w:t>präklinisch</w:t>
            </w:r>
          </w:p>
        </w:tc>
        <w:tc>
          <w:tcPr>
            <w:tcW w:w="3402" w:type="dxa"/>
            <w:shd w:val="clear" w:color="auto" w:fill="FFFFF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59109515" w14:textId="77777777" w:rsidR="00DF1186" w:rsidRDefault="00000000">
            <w:pPr>
              <w:spacing w:after="0"/>
            </w:pPr>
            <w:r>
              <w:rPr>
                <w:sz w:val="13"/>
              </w:rPr>
              <w:t>Akute Herzkrankheiten sind keine Selbstbehandlungsindikation für Cannabinoide; THC kann den Kreislauf belasten.</w:t>
            </w:r>
          </w:p>
        </w:tc>
      </w:tr>
      <w:tr w:rsidR="00DF1186" w14:paraId="44680FAD" w14:textId="77777777">
        <w:trPr>
          <w:cantSplit/>
          <w:jc w:val="center"/>
        </w:trPr>
        <w:tc>
          <w:tcPr>
            <w:tcW w:w="1531" w:type="dxa"/>
            <w:shd w:val="clear" w:color="auto" w:fill="EEE9F5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2B0CFC62" w14:textId="77777777" w:rsidR="00DF1186" w:rsidRDefault="00000000">
            <w:pPr>
              <w:spacing w:after="0"/>
            </w:pPr>
            <w:r>
              <w:rPr>
                <w:b/>
                <w:sz w:val="13"/>
              </w:rPr>
              <w:lastRenderedPageBreak/>
              <w:t>Neurologie</w:t>
            </w:r>
          </w:p>
        </w:tc>
        <w:tc>
          <w:tcPr>
            <w:tcW w:w="2324" w:type="dxa"/>
            <w:shd w:val="clear" w:color="auto" w:fill="E5F3E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2C3AFDC4" w14:textId="77777777" w:rsidR="00DF1186" w:rsidRDefault="00000000">
            <w:pPr>
              <w:spacing w:after="0"/>
            </w:pPr>
            <w:r>
              <w:rPr>
                <w:b/>
                <w:sz w:val="14"/>
              </w:rPr>
              <w:t>Alzheimer- und Parkinson-Erkrankung</w:t>
            </w:r>
          </w:p>
        </w:tc>
        <w:tc>
          <w:tcPr>
            <w:tcW w:w="1417" w:type="dxa"/>
            <w:shd w:val="clear" w:color="auto" w:fill="76559A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6E260A96" w14:textId="77777777" w:rsidR="00DF118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vor allem CB2; CB1 kontextabhängig</w:t>
            </w:r>
          </w:p>
        </w:tc>
        <w:tc>
          <w:tcPr>
            <w:tcW w:w="1928" w:type="dxa"/>
            <w:shd w:val="clear" w:color="auto" w:fill="F1F3F4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44711A26" w14:textId="77777777" w:rsidR="00DF1186" w:rsidRDefault="00000000">
            <w:pPr>
              <w:spacing w:after="0"/>
            </w:pPr>
            <w:r>
              <w:rPr>
                <w:sz w:val="13"/>
              </w:rPr>
              <w:t>CB2-Aktivierung; differenzierte CB1-Modulation</w:t>
            </w:r>
          </w:p>
        </w:tc>
        <w:tc>
          <w:tcPr>
            <w:tcW w:w="3118" w:type="dxa"/>
            <w:shd w:val="clear" w:color="auto" w:fill="F1F3F4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4204EECF" w14:textId="77777777" w:rsidR="00DF1186" w:rsidRDefault="00000000">
            <w:pPr>
              <w:spacing w:after="0"/>
            </w:pPr>
            <w:r>
              <w:rPr>
                <w:sz w:val="13"/>
              </w:rPr>
              <w:t>CB2 steigt häufig bei Neuroinflammation auf Mikroglia; Ziel ist die Dämpfung schädlicher Immunaktivierung.</w:t>
            </w:r>
          </w:p>
        </w:tc>
        <w:tc>
          <w:tcPr>
            <w:tcW w:w="1984" w:type="dxa"/>
            <w:shd w:val="clear" w:color="auto" w:fill="FCE5CD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524A4E38" w14:textId="77777777" w:rsidR="00DF1186" w:rsidRDefault="00000000">
            <w:pPr>
              <w:spacing w:after="0"/>
              <w:jc w:val="center"/>
            </w:pPr>
            <w:r>
              <w:rPr>
                <w:b/>
                <w:sz w:val="13"/>
              </w:rPr>
              <w:t>präklinisch / keine Krankheitsmodifikation belegt</w:t>
            </w:r>
          </w:p>
        </w:tc>
        <w:tc>
          <w:tcPr>
            <w:tcW w:w="3402" w:type="dxa"/>
            <w:shd w:val="clear" w:color="auto" w:fill="F1F3F4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07A79E14" w14:textId="77777777" w:rsidR="00DF1186" w:rsidRDefault="00000000">
            <w:pPr>
              <w:spacing w:after="0"/>
            </w:pPr>
            <w:r>
              <w:rPr>
                <w:sz w:val="13"/>
              </w:rPr>
              <w:t>Keine CB1-/CB2-Therapie stoppt nachgewiesen die Neurodegeneration.</w:t>
            </w:r>
          </w:p>
        </w:tc>
      </w:tr>
      <w:tr w:rsidR="00DF1186" w14:paraId="43B8917A" w14:textId="77777777">
        <w:trPr>
          <w:cantSplit/>
          <w:jc w:val="center"/>
        </w:trPr>
        <w:tc>
          <w:tcPr>
            <w:tcW w:w="1531" w:type="dxa"/>
            <w:shd w:val="clear" w:color="auto" w:fill="EEE9F5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672E3257" w14:textId="77777777" w:rsidR="00DF1186" w:rsidRDefault="00000000">
            <w:pPr>
              <w:spacing w:after="0"/>
            </w:pPr>
            <w:r>
              <w:rPr>
                <w:b/>
                <w:sz w:val="13"/>
              </w:rPr>
              <w:t>Neurologie</w:t>
            </w:r>
          </w:p>
        </w:tc>
        <w:tc>
          <w:tcPr>
            <w:tcW w:w="2324" w:type="dxa"/>
            <w:shd w:val="clear" w:color="auto" w:fill="E7F0F7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724E3348" w14:textId="77777777" w:rsidR="00DF1186" w:rsidRDefault="00000000">
            <w:pPr>
              <w:spacing w:after="0"/>
            </w:pPr>
            <w:r>
              <w:rPr>
                <w:b/>
                <w:sz w:val="14"/>
              </w:rPr>
              <w:t>Schlaganfall / Schädel-Hirn-Trauma</w:t>
            </w:r>
          </w:p>
        </w:tc>
        <w:tc>
          <w:tcPr>
            <w:tcW w:w="1417" w:type="dxa"/>
            <w:shd w:val="clear" w:color="auto" w:fill="76559A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3D123EC7" w14:textId="77777777" w:rsidR="00DF118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CB2; CB1 kontextabhängig</w:t>
            </w:r>
          </w:p>
        </w:tc>
        <w:tc>
          <w:tcPr>
            <w:tcW w:w="1928" w:type="dxa"/>
            <w:shd w:val="clear" w:color="auto" w:fill="FFFFF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7FFF283D" w14:textId="77777777" w:rsidR="00DF1186" w:rsidRDefault="00000000">
            <w:pPr>
              <w:spacing w:after="0"/>
            </w:pPr>
            <w:r>
              <w:rPr>
                <w:sz w:val="13"/>
              </w:rPr>
              <w:t>CB2-Aktivierung / zeitabhängige Modulation</w:t>
            </w:r>
          </w:p>
        </w:tc>
        <w:tc>
          <w:tcPr>
            <w:tcW w:w="3118" w:type="dxa"/>
            <w:shd w:val="clear" w:color="auto" w:fill="FFFFF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7AB7A517" w14:textId="77777777" w:rsidR="00DF1186" w:rsidRDefault="00000000">
            <w:pPr>
              <w:spacing w:after="0"/>
            </w:pPr>
            <w:r>
              <w:rPr>
                <w:sz w:val="13"/>
              </w:rPr>
              <w:t>Reduktion von Mikroglia- und Leukozytenaktivierung sowie sekundärer Entzündung wird untersucht.</w:t>
            </w:r>
          </w:p>
        </w:tc>
        <w:tc>
          <w:tcPr>
            <w:tcW w:w="1984" w:type="dxa"/>
            <w:shd w:val="clear" w:color="auto" w:fill="FCE5CD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72456A26" w14:textId="77777777" w:rsidR="00DF1186" w:rsidRDefault="00000000">
            <w:pPr>
              <w:spacing w:after="0"/>
              <w:jc w:val="center"/>
            </w:pPr>
            <w:r>
              <w:rPr>
                <w:b/>
                <w:sz w:val="13"/>
              </w:rPr>
              <w:t>präklinisch</w:t>
            </w:r>
          </w:p>
        </w:tc>
        <w:tc>
          <w:tcPr>
            <w:tcW w:w="3402" w:type="dxa"/>
            <w:shd w:val="clear" w:color="auto" w:fill="FFFFF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6C062B50" w14:textId="77777777" w:rsidR="00DF1186" w:rsidRDefault="00000000">
            <w:pPr>
              <w:spacing w:after="0"/>
            </w:pPr>
            <w:r>
              <w:rPr>
                <w:sz w:val="13"/>
              </w:rPr>
              <w:t>Zeitfenster, Dosis und Rezeptorwirkung sind komplex; keine etablierte Akuttherapie.</w:t>
            </w:r>
          </w:p>
        </w:tc>
      </w:tr>
      <w:tr w:rsidR="00DF1186" w14:paraId="6F70D539" w14:textId="77777777">
        <w:trPr>
          <w:cantSplit/>
          <w:jc w:val="center"/>
        </w:trPr>
        <w:tc>
          <w:tcPr>
            <w:tcW w:w="1531" w:type="dxa"/>
            <w:shd w:val="clear" w:color="auto" w:fill="EEE9F5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1AB1C113" w14:textId="77777777" w:rsidR="00DF1186" w:rsidRDefault="00000000">
            <w:pPr>
              <w:spacing w:after="0"/>
            </w:pPr>
            <w:r>
              <w:rPr>
                <w:b/>
                <w:sz w:val="13"/>
              </w:rPr>
              <w:t>Neurologie</w:t>
            </w:r>
          </w:p>
        </w:tc>
        <w:tc>
          <w:tcPr>
            <w:tcW w:w="2324" w:type="dxa"/>
            <w:shd w:val="clear" w:color="auto" w:fill="E5F3E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3048C1E2" w14:textId="77777777" w:rsidR="00DF1186" w:rsidRDefault="00000000">
            <w:pPr>
              <w:spacing w:after="0"/>
            </w:pPr>
            <w:r>
              <w:rPr>
                <w:b/>
                <w:sz w:val="14"/>
              </w:rPr>
              <w:t>Migräne</w:t>
            </w:r>
          </w:p>
        </w:tc>
        <w:tc>
          <w:tcPr>
            <w:tcW w:w="1417" w:type="dxa"/>
            <w:shd w:val="clear" w:color="auto" w:fill="2E68A0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7242B59E" w14:textId="77777777" w:rsidR="00DF118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CB1; weitere ECS-Ziele</w:t>
            </w:r>
          </w:p>
        </w:tc>
        <w:tc>
          <w:tcPr>
            <w:tcW w:w="1928" w:type="dxa"/>
            <w:shd w:val="clear" w:color="auto" w:fill="F1F3F4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043E6949" w14:textId="77777777" w:rsidR="00DF1186" w:rsidRDefault="00000000">
            <w:pPr>
              <w:spacing w:after="0"/>
            </w:pPr>
            <w:r>
              <w:rPr>
                <w:sz w:val="13"/>
              </w:rPr>
              <w:t>Modulation / Aktivierung</w:t>
            </w:r>
          </w:p>
        </w:tc>
        <w:tc>
          <w:tcPr>
            <w:tcW w:w="3118" w:type="dxa"/>
            <w:shd w:val="clear" w:color="auto" w:fill="F1F3F4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6959C4CC" w14:textId="77777777" w:rsidR="00DF1186" w:rsidRDefault="00000000">
            <w:pPr>
              <w:spacing w:after="0"/>
            </w:pPr>
            <w:r>
              <w:rPr>
                <w:sz w:val="13"/>
              </w:rPr>
              <w:t>CB1 kann trigeminale Schmerz- und Transmitterfreisetzung beeinflussen; weitere Rezeptoren und Signalwege sind beteiligt.</w:t>
            </w:r>
          </w:p>
        </w:tc>
        <w:tc>
          <w:tcPr>
            <w:tcW w:w="1984" w:type="dxa"/>
            <w:shd w:val="clear" w:color="auto" w:fill="FCE5CD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33DFB78D" w14:textId="77777777" w:rsidR="00DF1186" w:rsidRDefault="00000000">
            <w:pPr>
              <w:spacing w:after="0"/>
              <w:jc w:val="center"/>
            </w:pPr>
            <w:r>
              <w:rPr>
                <w:b/>
                <w:sz w:val="13"/>
              </w:rPr>
              <w:t>klinisch unzureichend</w:t>
            </w:r>
          </w:p>
        </w:tc>
        <w:tc>
          <w:tcPr>
            <w:tcW w:w="3402" w:type="dxa"/>
            <w:shd w:val="clear" w:color="auto" w:fill="F1F3F4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28917637" w14:textId="77777777" w:rsidR="00DF1186" w:rsidRDefault="00000000">
            <w:pPr>
              <w:spacing w:after="0"/>
            </w:pPr>
            <w:r>
              <w:rPr>
                <w:sz w:val="13"/>
              </w:rPr>
              <w:t>Keine etablierte selektive CB1-Therapie; Cannabisdaten sind heterogen und ersetzen keine Migräneprophylaxe.</w:t>
            </w:r>
          </w:p>
        </w:tc>
      </w:tr>
      <w:tr w:rsidR="00DF1186" w14:paraId="4CBAD398" w14:textId="77777777">
        <w:trPr>
          <w:cantSplit/>
          <w:jc w:val="center"/>
        </w:trPr>
        <w:tc>
          <w:tcPr>
            <w:tcW w:w="1531" w:type="dxa"/>
            <w:shd w:val="clear" w:color="auto" w:fill="EEE9F5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56B0E337" w14:textId="77777777" w:rsidR="00DF1186" w:rsidRDefault="00000000">
            <w:pPr>
              <w:spacing w:after="0"/>
            </w:pPr>
            <w:r>
              <w:rPr>
                <w:b/>
                <w:sz w:val="13"/>
              </w:rPr>
              <w:t>Auge</w:t>
            </w:r>
          </w:p>
        </w:tc>
        <w:tc>
          <w:tcPr>
            <w:tcW w:w="2324" w:type="dxa"/>
            <w:shd w:val="clear" w:color="auto" w:fill="E7F0F7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5B09AA64" w14:textId="77777777" w:rsidR="00DF1186" w:rsidRDefault="00000000">
            <w:pPr>
              <w:spacing w:after="0"/>
            </w:pPr>
            <w:r>
              <w:rPr>
                <w:b/>
                <w:sz w:val="14"/>
              </w:rPr>
              <w:t>Glaukom / erhöhter Augeninnendruck</w:t>
            </w:r>
          </w:p>
        </w:tc>
        <w:tc>
          <w:tcPr>
            <w:tcW w:w="1417" w:type="dxa"/>
            <w:shd w:val="clear" w:color="auto" w:fill="2E68A0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1CDAB05F" w14:textId="77777777" w:rsidR="00DF118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CB1</w:t>
            </w:r>
          </w:p>
        </w:tc>
        <w:tc>
          <w:tcPr>
            <w:tcW w:w="1928" w:type="dxa"/>
            <w:shd w:val="clear" w:color="auto" w:fill="FFFFF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0CACF186" w14:textId="77777777" w:rsidR="00DF1186" w:rsidRDefault="00000000">
            <w:pPr>
              <w:spacing w:after="0"/>
            </w:pPr>
            <w:r>
              <w:rPr>
                <w:sz w:val="13"/>
              </w:rPr>
              <w:t>Aktivierung</w:t>
            </w:r>
          </w:p>
        </w:tc>
        <w:tc>
          <w:tcPr>
            <w:tcW w:w="3118" w:type="dxa"/>
            <w:shd w:val="clear" w:color="auto" w:fill="FFFFF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61BA6051" w14:textId="77777777" w:rsidR="00DF1186" w:rsidRDefault="00000000">
            <w:pPr>
              <w:spacing w:after="0"/>
            </w:pPr>
            <w:r>
              <w:rPr>
                <w:sz w:val="13"/>
              </w:rPr>
              <w:t>Cannabinoide können den Augeninnendruck kurzfristig senken.</w:t>
            </w:r>
          </w:p>
        </w:tc>
        <w:tc>
          <w:tcPr>
            <w:tcW w:w="1984" w:type="dxa"/>
            <w:shd w:val="clear" w:color="auto" w:fill="E6E6E6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460DFDEF" w14:textId="77777777" w:rsidR="00DF1186" w:rsidRDefault="00000000">
            <w:pPr>
              <w:spacing w:after="0"/>
              <w:jc w:val="center"/>
            </w:pPr>
            <w:r>
              <w:rPr>
                <w:b/>
                <w:sz w:val="13"/>
              </w:rPr>
              <w:t>biologischer Effekt, klinisch ungeeignet</w:t>
            </w:r>
          </w:p>
        </w:tc>
        <w:tc>
          <w:tcPr>
            <w:tcW w:w="3402" w:type="dxa"/>
            <w:shd w:val="clear" w:color="auto" w:fill="FFFFF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21D392FE" w14:textId="77777777" w:rsidR="00DF1186" w:rsidRDefault="00000000">
            <w:pPr>
              <w:spacing w:after="0"/>
            </w:pPr>
            <w:r>
              <w:rPr>
                <w:sz w:val="13"/>
              </w:rPr>
              <w:t>Kurze Wirkdauer und systemische Nebenwirkungen; nicht als Standardbehandlung empfohlen.</w:t>
            </w:r>
          </w:p>
        </w:tc>
      </w:tr>
      <w:tr w:rsidR="00DF1186" w14:paraId="012E2E69" w14:textId="77777777">
        <w:trPr>
          <w:cantSplit/>
          <w:jc w:val="center"/>
        </w:trPr>
        <w:tc>
          <w:tcPr>
            <w:tcW w:w="1531" w:type="dxa"/>
            <w:shd w:val="clear" w:color="auto" w:fill="EEE9F5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36544656" w14:textId="77777777" w:rsidR="00DF1186" w:rsidRDefault="00000000">
            <w:pPr>
              <w:spacing w:after="0"/>
            </w:pPr>
            <w:r>
              <w:rPr>
                <w:b/>
                <w:sz w:val="13"/>
              </w:rPr>
              <w:t>Onkologie</w:t>
            </w:r>
          </w:p>
        </w:tc>
        <w:tc>
          <w:tcPr>
            <w:tcW w:w="2324" w:type="dxa"/>
            <w:shd w:val="clear" w:color="auto" w:fill="E5F3EF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5A1B1C18" w14:textId="77777777" w:rsidR="00DF1186" w:rsidRDefault="00000000">
            <w:pPr>
              <w:spacing w:after="0"/>
            </w:pPr>
            <w:r>
              <w:rPr>
                <w:b/>
                <w:sz w:val="14"/>
              </w:rPr>
              <w:t>Tumorerkrankungen</w:t>
            </w:r>
          </w:p>
        </w:tc>
        <w:tc>
          <w:tcPr>
            <w:tcW w:w="1417" w:type="dxa"/>
            <w:shd w:val="clear" w:color="auto" w:fill="76559A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5D11B02A" w14:textId="77777777" w:rsidR="00DF118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4"/>
              </w:rPr>
              <w:t>CB1 und/oder CB2 – tumortypabhängig</w:t>
            </w:r>
          </w:p>
        </w:tc>
        <w:tc>
          <w:tcPr>
            <w:tcW w:w="1928" w:type="dxa"/>
            <w:shd w:val="clear" w:color="auto" w:fill="F1F3F4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0AA0273C" w14:textId="77777777" w:rsidR="00DF1186" w:rsidRDefault="00000000">
            <w:pPr>
              <w:spacing w:after="0"/>
            </w:pPr>
            <w:r>
              <w:rPr>
                <w:sz w:val="13"/>
              </w:rPr>
              <w:t>häufig Aktivierung experimentell untersucht</w:t>
            </w:r>
          </w:p>
        </w:tc>
        <w:tc>
          <w:tcPr>
            <w:tcW w:w="3118" w:type="dxa"/>
            <w:shd w:val="clear" w:color="auto" w:fill="F1F3F4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3D0DD275" w14:textId="77777777" w:rsidR="00DF1186" w:rsidRDefault="00000000">
            <w:pPr>
              <w:spacing w:after="0"/>
            </w:pPr>
            <w:r>
              <w:rPr>
                <w:sz w:val="13"/>
              </w:rPr>
              <w:t>In Zell- und Tiermodellen werden Proliferation, Apoptose, Angiogenese und Immunantwort beeinflusst.</w:t>
            </w:r>
          </w:p>
        </w:tc>
        <w:tc>
          <w:tcPr>
            <w:tcW w:w="1984" w:type="dxa"/>
            <w:shd w:val="clear" w:color="auto" w:fill="FCE5CD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564FAC0B" w14:textId="77777777" w:rsidR="00DF1186" w:rsidRDefault="00000000">
            <w:pPr>
              <w:spacing w:after="0"/>
              <w:jc w:val="center"/>
            </w:pPr>
            <w:r>
              <w:rPr>
                <w:b/>
                <w:sz w:val="13"/>
              </w:rPr>
              <w:t>präklinisch; keine Heilwirkung belegt</w:t>
            </w:r>
          </w:p>
        </w:tc>
        <w:tc>
          <w:tcPr>
            <w:tcW w:w="3402" w:type="dxa"/>
            <w:shd w:val="clear" w:color="auto" w:fill="F1F3F4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4987FE28" w14:textId="77777777" w:rsidR="00DF1186" w:rsidRDefault="00000000">
            <w:pPr>
              <w:spacing w:after="0"/>
            </w:pPr>
            <w:r>
              <w:rPr>
                <w:sz w:val="13"/>
              </w:rPr>
              <w:t>Rezeptorexpression und Wirkung variieren stark. Cannabinoide ersetzen keine onkologische Therapie.</w:t>
            </w:r>
          </w:p>
        </w:tc>
      </w:tr>
    </w:tbl>
    <w:p w14:paraId="63B71882" w14:textId="77777777" w:rsidR="00DF1186" w:rsidRDefault="00000000">
      <w:pPr>
        <w:pStyle w:val="berschrift1"/>
      </w:pPr>
      <w:r>
        <w:t>Wichtige Abgrenzungen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5137"/>
        <w:gridCol w:w="5136"/>
        <w:gridCol w:w="5137"/>
      </w:tblGrid>
      <w:tr w:rsidR="00DF1186" w14:paraId="047F2536" w14:textId="77777777">
        <w:trPr>
          <w:jc w:val="center"/>
        </w:trPr>
        <w:tc>
          <w:tcPr>
            <w:tcW w:w="5140" w:type="dxa"/>
            <w:shd w:val="clear" w:color="auto" w:fill="E7F0F7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340D12" w14:textId="77777777" w:rsidR="00DF1186" w:rsidRDefault="00000000">
            <w:pPr>
              <w:spacing w:after="0"/>
            </w:pPr>
            <w:r>
              <w:rPr>
                <w:b/>
                <w:color w:val="173B57"/>
              </w:rPr>
              <w:t>Epilepsie</w:t>
            </w:r>
            <w:r>
              <w:rPr>
                <w:b/>
                <w:color w:val="173B57"/>
              </w:rPr>
              <w:br/>
            </w:r>
            <w:r>
              <w:rPr>
                <w:sz w:val="15"/>
              </w:rPr>
              <w:t>Die klinische Wirkung von Cannabidiol bei bestimmten Epilepsien wird nicht primär durch direkte CB1- oder CB2-Bindung erklärt.</w:t>
            </w:r>
          </w:p>
        </w:tc>
        <w:tc>
          <w:tcPr>
            <w:tcW w:w="5140" w:type="dxa"/>
            <w:shd w:val="clear" w:color="auto" w:fill="EEE9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E62250" w14:textId="77777777" w:rsidR="00DF1186" w:rsidRDefault="00000000">
            <w:pPr>
              <w:spacing w:after="0"/>
            </w:pPr>
            <w:r>
              <w:rPr>
                <w:b/>
                <w:color w:val="173B57"/>
              </w:rPr>
              <w:t>Psychische Erkrankungen</w:t>
            </w:r>
            <w:r>
              <w:rPr>
                <w:b/>
                <w:color w:val="173B57"/>
              </w:rPr>
              <w:br/>
            </w:r>
            <w:r>
              <w:rPr>
                <w:sz w:val="15"/>
              </w:rPr>
              <w:t>CB1-Aktivierung kann Angst, Psychose und kognitive Störungen verstärken; keine pauschale therapeutische Empfehlung.</w:t>
            </w:r>
          </w:p>
        </w:tc>
        <w:tc>
          <w:tcPr>
            <w:tcW w:w="5140" w:type="dxa"/>
            <w:shd w:val="clear" w:color="auto" w:fill="E5F3E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BF2871" w14:textId="77777777" w:rsidR="00DF1186" w:rsidRDefault="00000000">
            <w:pPr>
              <w:spacing w:after="0"/>
            </w:pPr>
            <w:r>
              <w:rPr>
                <w:b/>
                <w:color w:val="173B57"/>
              </w:rPr>
              <w:t>Erkrankungsmodifikation</w:t>
            </w:r>
            <w:r>
              <w:rPr>
                <w:b/>
                <w:color w:val="173B57"/>
              </w:rPr>
              <w:br/>
            </w:r>
            <w:r>
              <w:rPr>
                <w:sz w:val="15"/>
              </w:rPr>
              <w:t>Symptomlinderung – etwa weniger Schmerz oder Übelkeit – ist nicht gleichbedeutend mit einer Bekämpfung der Krankheitsursache.</w:t>
            </w:r>
          </w:p>
        </w:tc>
      </w:tr>
    </w:tbl>
    <w:p w14:paraId="1CC337E6" w14:textId="77777777" w:rsidR="00DF1186" w:rsidRDefault="00000000">
      <w:pPr>
        <w:pStyle w:val="berschrift2"/>
      </w:pPr>
      <w:r>
        <w:t>Quellenbasis (Auswahl)</w:t>
      </w:r>
    </w:p>
    <w:p w14:paraId="08443DA3" w14:textId="77777777" w:rsidR="00DF1186" w:rsidRDefault="00000000">
      <w:pPr>
        <w:pStyle w:val="Aufzhlungszeichen"/>
        <w:spacing w:after="20"/>
      </w:pPr>
      <w:r>
        <w:rPr>
          <w:sz w:val="15"/>
        </w:rPr>
        <w:t>NICE NG144: Cannabis-based medicinal products – Übelkeit, Schmerz, Spastik und Epilepsie</w:t>
      </w:r>
    </w:p>
    <w:p w14:paraId="3CFD49D7" w14:textId="77777777" w:rsidR="00DF1186" w:rsidRDefault="00000000">
      <w:pPr>
        <w:pStyle w:val="Aufzhlungszeichen"/>
        <w:spacing w:after="20"/>
      </w:pPr>
      <w:r>
        <w:rPr>
          <w:sz w:val="15"/>
        </w:rPr>
        <w:t>Howlett et al.: CB1 Cannabinoid Receptors and their Associated Proteins (PMCID: PMC3179980)</w:t>
      </w:r>
    </w:p>
    <w:p w14:paraId="5C069CB6" w14:textId="77777777" w:rsidR="00DF1186" w:rsidRDefault="00000000">
      <w:pPr>
        <w:pStyle w:val="Aufzhlungszeichen"/>
        <w:spacing w:after="20"/>
      </w:pPr>
      <w:r>
        <w:rPr>
          <w:sz w:val="15"/>
        </w:rPr>
        <w:t>Rakotoarivelo et al. 2024: The Impact of the CB2 Cannabinoid Receptor in Inflammatory Diseases (PMC11279428)</w:t>
      </w:r>
    </w:p>
    <w:p w14:paraId="04B6E9A2" w14:textId="77777777" w:rsidR="00DF1186" w:rsidRDefault="00000000">
      <w:pPr>
        <w:pStyle w:val="Aufzhlungszeichen"/>
        <w:spacing w:after="20"/>
      </w:pPr>
      <w:r>
        <w:rPr>
          <w:sz w:val="15"/>
        </w:rPr>
        <w:t>Guenther et al. 2025: Grenzen der klinischen Übertragung selektiver CB2-Agonisten (PMID: 39644993)</w:t>
      </w:r>
    </w:p>
    <w:p w14:paraId="782D9476" w14:textId="77777777" w:rsidR="00DF1186" w:rsidRDefault="00000000">
      <w:pPr>
        <w:pStyle w:val="Aufzhlungszeichen"/>
        <w:spacing w:after="20"/>
      </w:pPr>
      <w:r>
        <w:rPr>
          <w:sz w:val="15"/>
        </w:rPr>
        <w:t>Saponaro et al. 2021: The Role of Cannabinoids in Bone Metabolism (PMC8621131)</w:t>
      </w:r>
    </w:p>
    <w:p w14:paraId="07A55DF2" w14:textId="77777777" w:rsidR="00DF1186" w:rsidRDefault="00000000">
      <w:pPr>
        <w:pStyle w:val="Aufzhlungszeichen"/>
        <w:spacing w:after="20"/>
      </w:pPr>
      <w:r>
        <w:rPr>
          <w:sz w:val="15"/>
        </w:rPr>
        <w:t>Arceri et al. 2023: Cannabinoid Signaling in Kidney Disease (PMC10217398)</w:t>
      </w:r>
    </w:p>
    <w:sectPr w:rsidR="00DF1186" w:rsidSect="00034616">
      <w:footerReference w:type="default" r:id="rId8"/>
      <w:pgSz w:w="16838" w:h="11906" w:orient="landscape"/>
      <w:pgMar w:top="709" w:right="709" w:bottom="652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A3680" w14:textId="77777777" w:rsidR="005F7827" w:rsidRDefault="005F7827">
      <w:pPr>
        <w:spacing w:after="0" w:line="240" w:lineRule="auto"/>
      </w:pPr>
      <w:r>
        <w:separator/>
      </w:r>
    </w:p>
  </w:endnote>
  <w:endnote w:type="continuationSeparator" w:id="0">
    <w:p w14:paraId="1C0DC3DC" w14:textId="77777777" w:rsidR="005F7827" w:rsidRDefault="005F7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4BF0B" w14:textId="77777777" w:rsidR="00DF1186" w:rsidRDefault="00000000">
    <w:pPr>
      <w:pStyle w:val="Fuzeile"/>
      <w:jc w:val="center"/>
    </w:pPr>
    <w:proofErr w:type="spellStart"/>
    <w:r>
      <w:rPr>
        <w:color w:val="69767D"/>
        <w:sz w:val="14"/>
      </w:rPr>
      <w:t>Wissenschaftliche</w:t>
    </w:r>
    <w:proofErr w:type="spellEnd"/>
    <w:r>
      <w:rPr>
        <w:color w:val="69767D"/>
        <w:sz w:val="14"/>
      </w:rPr>
      <w:t xml:space="preserve"> </w:t>
    </w:r>
    <w:proofErr w:type="spellStart"/>
    <w:r>
      <w:rPr>
        <w:color w:val="69767D"/>
        <w:sz w:val="14"/>
      </w:rPr>
      <w:t>Übersicht</w:t>
    </w:r>
    <w:proofErr w:type="spellEnd"/>
    <w:r>
      <w:rPr>
        <w:color w:val="69767D"/>
        <w:sz w:val="14"/>
      </w:rPr>
      <w:t xml:space="preserve"> – </w:t>
    </w:r>
    <w:proofErr w:type="spellStart"/>
    <w:r>
      <w:rPr>
        <w:color w:val="69767D"/>
        <w:sz w:val="14"/>
      </w:rPr>
      <w:t>keine</w:t>
    </w:r>
    <w:proofErr w:type="spellEnd"/>
    <w:r>
      <w:rPr>
        <w:color w:val="69767D"/>
        <w:sz w:val="14"/>
      </w:rPr>
      <w:t xml:space="preserve"> </w:t>
    </w:r>
    <w:proofErr w:type="spellStart"/>
    <w:r>
      <w:rPr>
        <w:color w:val="69767D"/>
        <w:sz w:val="14"/>
      </w:rPr>
      <w:t>individuelle</w:t>
    </w:r>
    <w:proofErr w:type="spellEnd"/>
    <w:r>
      <w:rPr>
        <w:color w:val="69767D"/>
        <w:sz w:val="14"/>
      </w:rPr>
      <w:t xml:space="preserve"> </w:t>
    </w:r>
    <w:proofErr w:type="spellStart"/>
    <w:r>
      <w:rPr>
        <w:color w:val="69767D"/>
        <w:sz w:val="14"/>
      </w:rPr>
      <w:t>Therapieempfehlung</w:t>
    </w:r>
    <w:proofErr w:type="spellEnd"/>
    <w:r>
      <w:rPr>
        <w:color w:val="69767D"/>
        <w:sz w:val="14"/>
      </w:rPr>
      <w:t xml:space="preserve"> | Stand 26.07.2026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D6104" w14:textId="77777777" w:rsidR="005F7827" w:rsidRDefault="005F7827">
      <w:pPr>
        <w:spacing w:after="0" w:line="240" w:lineRule="auto"/>
      </w:pPr>
      <w:r>
        <w:separator/>
      </w:r>
    </w:p>
  </w:footnote>
  <w:footnote w:type="continuationSeparator" w:id="0">
    <w:p w14:paraId="424233CC" w14:textId="77777777" w:rsidR="005F7827" w:rsidRDefault="005F78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5357559">
    <w:abstractNumId w:val="8"/>
  </w:num>
  <w:num w:numId="2" w16cid:durableId="1457212213">
    <w:abstractNumId w:val="6"/>
  </w:num>
  <w:num w:numId="3" w16cid:durableId="1925726778">
    <w:abstractNumId w:val="5"/>
  </w:num>
  <w:num w:numId="4" w16cid:durableId="816216794">
    <w:abstractNumId w:val="4"/>
  </w:num>
  <w:num w:numId="5" w16cid:durableId="1141575020">
    <w:abstractNumId w:val="7"/>
  </w:num>
  <w:num w:numId="6" w16cid:durableId="1771967718">
    <w:abstractNumId w:val="3"/>
  </w:num>
  <w:num w:numId="7" w16cid:durableId="1930190130">
    <w:abstractNumId w:val="2"/>
  </w:num>
  <w:num w:numId="8" w16cid:durableId="1379940897">
    <w:abstractNumId w:val="1"/>
  </w:num>
  <w:num w:numId="9" w16cid:durableId="1523936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F7827"/>
    <w:rsid w:val="00945E9E"/>
    <w:rsid w:val="00AA1D8D"/>
    <w:rsid w:val="00B47730"/>
    <w:rsid w:val="00CB0664"/>
    <w:rsid w:val="00DF1186"/>
    <w:rsid w:val="00F75CB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C25D91"/>
  <w14:defaultImageDpi w14:val="300"/>
  <w15:docId w15:val="{F3C2894D-3BD4-491E-92C2-0934828D8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60"/>
    </w:pPr>
    <w:rPr>
      <w:rFonts w:ascii="Aptos" w:hAnsi="Aptos"/>
      <w:color w:val="273943"/>
      <w:sz w:val="17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/>
      <w:b/>
      <w:bCs/>
      <w:color w:val="173B57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/>
      <w:b/>
      <w:bCs/>
      <w:color w:val="238A78"/>
      <w:sz w:val="2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before="140" w:after="80" w:line="240" w:lineRule="auto"/>
      <w:contextualSpacing/>
    </w:pPr>
    <w:rPr>
      <w:rFonts w:asciiTheme="majorHAnsi" w:eastAsiaTheme="majorEastAsia" w:hAnsiTheme="majorHAnsi" w:cstheme="majorBidi"/>
      <w:b/>
      <w:color w:val="173B57"/>
      <w:spacing w:val="5"/>
      <w:kern w:val="28"/>
      <w:sz w:val="4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 Böhm</cp:lastModifiedBy>
  <cp:revision>2</cp:revision>
  <dcterms:created xsi:type="dcterms:W3CDTF">2026-07-26T16:17:00Z</dcterms:created>
  <dcterms:modified xsi:type="dcterms:W3CDTF">2026-07-26T16:17:00Z</dcterms:modified>
  <cp:category/>
</cp:coreProperties>
</file>